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35" w:rsidRPr="009F2CE7" w:rsidRDefault="007E4E35" w:rsidP="007E4E35">
      <w:pPr>
        <w:spacing w:after="0"/>
        <w:rPr>
          <w:b/>
          <w:sz w:val="24"/>
          <w:szCs w:val="24"/>
        </w:rPr>
      </w:pPr>
      <w:r>
        <w:rPr>
          <w:b/>
          <w:sz w:val="24"/>
          <w:szCs w:val="24"/>
        </w:rPr>
        <w:t xml:space="preserve">(34) Positionen IX: Einsprüche gegen den Dogmatismus – Ernst Bloch, Hanns Eisler, </w:t>
      </w:r>
      <w:r w:rsidRPr="001461B3">
        <w:rPr>
          <w:b/>
          <w:sz w:val="24"/>
          <w:szCs w:val="24"/>
        </w:rPr>
        <w:t xml:space="preserve">Anna Seghers </w:t>
      </w:r>
    </w:p>
    <w:p w:rsidR="007E4E35" w:rsidRPr="001E2158" w:rsidRDefault="007E4E35" w:rsidP="007E4E35">
      <w:pPr>
        <w:spacing w:after="0"/>
        <w:rPr>
          <w:sz w:val="24"/>
          <w:szCs w:val="24"/>
        </w:rPr>
      </w:pPr>
    </w:p>
    <w:p w:rsidR="00B87E89" w:rsidRDefault="007E4E35" w:rsidP="007E4E35">
      <w:pPr>
        <w:spacing w:after="0"/>
        <w:rPr>
          <w:rFonts w:cs="Times New Roman"/>
          <w:sz w:val="24"/>
          <w:szCs w:val="24"/>
        </w:rPr>
      </w:pPr>
      <w:r w:rsidRPr="00E2751C">
        <w:rPr>
          <w:rFonts w:cs="Times New Roman"/>
          <w:sz w:val="24"/>
          <w:szCs w:val="24"/>
        </w:rPr>
        <w:t xml:space="preserve">Der </w:t>
      </w:r>
      <w:r w:rsidR="009335A5">
        <w:rPr>
          <w:rFonts w:cs="Times New Roman"/>
          <w:sz w:val="24"/>
          <w:szCs w:val="24"/>
        </w:rPr>
        <w:t>Ver</w:t>
      </w:r>
      <w:r w:rsidR="00673D9E">
        <w:rPr>
          <w:rFonts w:cs="Times New Roman"/>
          <w:sz w:val="24"/>
          <w:szCs w:val="24"/>
        </w:rPr>
        <w:t>lauf der Expressionismus-Debatte</w:t>
      </w:r>
      <w:r w:rsidRPr="00E2751C">
        <w:rPr>
          <w:rFonts w:cs="Times New Roman"/>
          <w:sz w:val="24"/>
          <w:szCs w:val="24"/>
        </w:rPr>
        <w:t xml:space="preserve"> </w:t>
      </w:r>
      <w:r w:rsidR="00673D9E">
        <w:rPr>
          <w:rFonts w:cs="Times New Roman"/>
          <w:sz w:val="24"/>
          <w:szCs w:val="24"/>
        </w:rPr>
        <w:t xml:space="preserve">stieß bei </w:t>
      </w:r>
      <w:r w:rsidR="000C05AC">
        <w:rPr>
          <w:rFonts w:cs="Times New Roman"/>
          <w:sz w:val="24"/>
          <w:szCs w:val="24"/>
        </w:rPr>
        <w:t xml:space="preserve">einem </w:t>
      </w:r>
      <w:r w:rsidR="00265780">
        <w:rPr>
          <w:rFonts w:cs="Times New Roman"/>
          <w:sz w:val="24"/>
          <w:szCs w:val="24"/>
        </w:rPr>
        <w:t>Großt</w:t>
      </w:r>
      <w:r w:rsidR="000C05AC">
        <w:rPr>
          <w:rFonts w:cs="Times New Roman"/>
          <w:sz w:val="24"/>
          <w:szCs w:val="24"/>
        </w:rPr>
        <w:t>eil</w:t>
      </w:r>
      <w:r w:rsidR="00673D9E">
        <w:rPr>
          <w:rFonts w:cs="Times New Roman"/>
          <w:sz w:val="24"/>
          <w:szCs w:val="24"/>
        </w:rPr>
        <w:t xml:space="preserve"> der in den westeuropäischen Asylländern lebend</w:t>
      </w:r>
      <w:r w:rsidRPr="00E2751C">
        <w:rPr>
          <w:rFonts w:cs="Times New Roman"/>
          <w:sz w:val="24"/>
          <w:szCs w:val="24"/>
        </w:rPr>
        <w:t>en Schriftsteller</w:t>
      </w:r>
      <w:r w:rsidR="00673D9E">
        <w:rPr>
          <w:rFonts w:cs="Times New Roman"/>
          <w:sz w:val="24"/>
          <w:szCs w:val="24"/>
        </w:rPr>
        <w:t xml:space="preserve"> auf </w:t>
      </w:r>
      <w:r w:rsidR="000C05AC">
        <w:rPr>
          <w:rFonts w:cs="Times New Roman"/>
          <w:sz w:val="24"/>
          <w:szCs w:val="24"/>
        </w:rPr>
        <w:t>Befremden</w:t>
      </w:r>
      <w:r w:rsidR="00673D9E">
        <w:rPr>
          <w:rFonts w:cs="Times New Roman"/>
          <w:sz w:val="24"/>
          <w:szCs w:val="24"/>
        </w:rPr>
        <w:t>.</w:t>
      </w:r>
      <w:r w:rsidR="00C47733">
        <w:rPr>
          <w:rFonts w:cs="Times New Roman"/>
          <w:sz w:val="24"/>
          <w:szCs w:val="24"/>
        </w:rPr>
        <w:t xml:space="preserve"> </w:t>
      </w:r>
      <w:r w:rsidR="004179F7">
        <w:rPr>
          <w:rFonts w:cs="Times New Roman"/>
          <w:sz w:val="24"/>
          <w:szCs w:val="24"/>
        </w:rPr>
        <w:t>Insbesondere</w:t>
      </w:r>
      <w:r w:rsidR="000C05AC">
        <w:rPr>
          <w:rFonts w:cs="Times New Roman"/>
          <w:sz w:val="24"/>
          <w:szCs w:val="24"/>
        </w:rPr>
        <w:t xml:space="preserve"> d</w:t>
      </w:r>
      <w:r w:rsidRPr="00E2751C">
        <w:rPr>
          <w:rFonts w:cs="Times New Roman"/>
          <w:sz w:val="24"/>
          <w:szCs w:val="24"/>
        </w:rPr>
        <w:t xml:space="preserve">er </w:t>
      </w:r>
      <w:proofErr w:type="spellStart"/>
      <w:r w:rsidRPr="00E2751C">
        <w:rPr>
          <w:rFonts w:cs="Times New Roman"/>
          <w:sz w:val="24"/>
          <w:szCs w:val="24"/>
        </w:rPr>
        <w:t>Kurella</w:t>
      </w:r>
      <w:proofErr w:type="spellEnd"/>
      <w:r w:rsidRPr="00E2751C">
        <w:rPr>
          <w:rFonts w:cs="Times New Roman"/>
          <w:sz w:val="24"/>
          <w:szCs w:val="24"/>
        </w:rPr>
        <w:t xml:space="preserve">-Artikel </w:t>
      </w:r>
      <w:r w:rsidR="009335A5">
        <w:rPr>
          <w:rFonts w:cs="Times New Roman"/>
          <w:sz w:val="24"/>
          <w:szCs w:val="24"/>
        </w:rPr>
        <w:t>erregte Anstoß.</w:t>
      </w:r>
      <w:r w:rsidR="00265780">
        <w:rPr>
          <w:rFonts w:cs="Times New Roman"/>
          <w:sz w:val="24"/>
          <w:szCs w:val="24"/>
        </w:rPr>
        <w:t xml:space="preserve"> </w:t>
      </w:r>
      <w:r w:rsidR="000C05AC" w:rsidRPr="00E2751C">
        <w:rPr>
          <w:rFonts w:cs="Times New Roman"/>
          <w:sz w:val="24"/>
          <w:szCs w:val="24"/>
        </w:rPr>
        <w:t xml:space="preserve">Was </w:t>
      </w:r>
      <w:r w:rsidR="009408E8">
        <w:rPr>
          <w:rFonts w:cs="Times New Roman"/>
          <w:sz w:val="24"/>
          <w:szCs w:val="24"/>
        </w:rPr>
        <w:t>soll</w:t>
      </w:r>
      <w:r w:rsidR="000C05AC" w:rsidRPr="00E2751C">
        <w:rPr>
          <w:rFonts w:cs="Times New Roman"/>
          <w:sz w:val="24"/>
          <w:szCs w:val="24"/>
        </w:rPr>
        <w:t xml:space="preserve">te man über diesen „Winckelmann-Hellenismus“: die Formel von der „edlen Einfalt und stillen Größe“, sagen? </w:t>
      </w:r>
      <w:r w:rsidR="009408E8">
        <w:rPr>
          <w:rFonts w:cs="Times New Roman"/>
          <w:sz w:val="24"/>
          <w:szCs w:val="24"/>
        </w:rPr>
        <w:t>Ebenso</w:t>
      </w:r>
      <w:r w:rsidR="000C05AC" w:rsidRPr="00E2751C">
        <w:rPr>
          <w:rFonts w:cs="Times New Roman"/>
          <w:sz w:val="24"/>
          <w:szCs w:val="24"/>
        </w:rPr>
        <w:t xml:space="preserve"> über die Forderung nach „Volksnähe und Volkstümlichkeit“</w:t>
      </w:r>
      <w:r w:rsidR="004179F7">
        <w:rPr>
          <w:rFonts w:cs="Times New Roman"/>
          <w:sz w:val="24"/>
          <w:szCs w:val="24"/>
        </w:rPr>
        <w:t>?</w:t>
      </w:r>
      <w:r w:rsidR="009335A5">
        <w:rPr>
          <w:rFonts w:cs="Times New Roman"/>
          <w:sz w:val="24"/>
          <w:szCs w:val="24"/>
        </w:rPr>
        <w:t xml:space="preserve"> War das eine Anbiederung an den </w:t>
      </w:r>
      <w:r w:rsidR="000C05AC" w:rsidRPr="00E2751C">
        <w:rPr>
          <w:rFonts w:cs="Times New Roman"/>
          <w:sz w:val="24"/>
          <w:szCs w:val="24"/>
        </w:rPr>
        <w:t xml:space="preserve">Stalin-Kult? </w:t>
      </w:r>
      <w:r w:rsidR="0064495B">
        <w:rPr>
          <w:rFonts w:cs="Times New Roman"/>
          <w:sz w:val="24"/>
          <w:szCs w:val="24"/>
        </w:rPr>
        <w:t>D</w:t>
      </w:r>
      <w:r w:rsidR="009335A5">
        <w:rPr>
          <w:rFonts w:cs="Times New Roman"/>
          <w:sz w:val="24"/>
          <w:szCs w:val="24"/>
        </w:rPr>
        <w:t>erartig schablonenhafte Formulierungen</w:t>
      </w:r>
      <w:r w:rsidR="000C05AC" w:rsidRPr="00E2751C">
        <w:rPr>
          <w:rFonts w:cs="Times New Roman"/>
          <w:sz w:val="24"/>
          <w:szCs w:val="24"/>
        </w:rPr>
        <w:t xml:space="preserve"> pa</w:t>
      </w:r>
      <w:r w:rsidR="000C05AC">
        <w:rPr>
          <w:rFonts w:cs="Times New Roman"/>
          <w:sz w:val="24"/>
          <w:szCs w:val="24"/>
        </w:rPr>
        <w:t>ss</w:t>
      </w:r>
      <w:r w:rsidR="000C05AC" w:rsidRPr="00E2751C">
        <w:rPr>
          <w:rFonts w:cs="Times New Roman"/>
          <w:sz w:val="24"/>
          <w:szCs w:val="24"/>
        </w:rPr>
        <w:t>te</w:t>
      </w:r>
      <w:r w:rsidR="009335A5">
        <w:rPr>
          <w:rFonts w:cs="Times New Roman"/>
          <w:sz w:val="24"/>
          <w:szCs w:val="24"/>
        </w:rPr>
        <w:t>n</w:t>
      </w:r>
      <w:r w:rsidR="000C05AC" w:rsidRPr="00E2751C">
        <w:rPr>
          <w:rFonts w:cs="Times New Roman"/>
          <w:sz w:val="24"/>
          <w:szCs w:val="24"/>
        </w:rPr>
        <w:t xml:space="preserve"> </w:t>
      </w:r>
      <w:r w:rsidR="004179F7">
        <w:rPr>
          <w:rFonts w:cs="Times New Roman"/>
          <w:sz w:val="24"/>
          <w:szCs w:val="24"/>
        </w:rPr>
        <w:t xml:space="preserve">nicht </w:t>
      </w:r>
      <w:r w:rsidR="009335A5">
        <w:rPr>
          <w:rFonts w:cs="Times New Roman"/>
          <w:sz w:val="24"/>
          <w:szCs w:val="24"/>
        </w:rPr>
        <w:t>zu</w:t>
      </w:r>
      <w:r w:rsidR="000C05AC" w:rsidRPr="00E2751C">
        <w:rPr>
          <w:rFonts w:cs="Times New Roman"/>
          <w:sz w:val="24"/>
          <w:szCs w:val="24"/>
        </w:rPr>
        <w:t xml:space="preserve"> Intellektuellen, d</w:t>
      </w:r>
      <w:r w:rsidR="009408E8">
        <w:rPr>
          <w:rFonts w:cs="Times New Roman"/>
          <w:sz w:val="24"/>
          <w:szCs w:val="24"/>
        </w:rPr>
        <w:t>i</w:t>
      </w:r>
      <w:r w:rsidR="000C05AC" w:rsidRPr="00E2751C">
        <w:rPr>
          <w:rFonts w:cs="Times New Roman"/>
          <w:sz w:val="24"/>
          <w:szCs w:val="24"/>
        </w:rPr>
        <w:t>e</w:t>
      </w:r>
      <w:r w:rsidR="009408E8">
        <w:rPr>
          <w:rFonts w:cs="Times New Roman"/>
          <w:sz w:val="24"/>
          <w:szCs w:val="24"/>
        </w:rPr>
        <w:t xml:space="preserve"> mit</w:t>
      </w:r>
      <w:r w:rsidR="004179F7">
        <w:rPr>
          <w:rFonts w:cs="Times New Roman"/>
          <w:sz w:val="24"/>
          <w:szCs w:val="24"/>
        </w:rPr>
        <w:t xml:space="preserve"> </w:t>
      </w:r>
      <w:r w:rsidR="000C05AC" w:rsidRPr="00E2751C">
        <w:rPr>
          <w:rFonts w:cs="Times New Roman"/>
          <w:sz w:val="24"/>
          <w:szCs w:val="24"/>
        </w:rPr>
        <w:t>Dadaismus und Neue</w:t>
      </w:r>
      <w:r w:rsidR="009408E8">
        <w:rPr>
          <w:rFonts w:cs="Times New Roman"/>
          <w:sz w:val="24"/>
          <w:szCs w:val="24"/>
        </w:rPr>
        <w:t>r</w:t>
      </w:r>
      <w:r w:rsidR="000C05AC" w:rsidRPr="00E2751C">
        <w:rPr>
          <w:rFonts w:cs="Times New Roman"/>
          <w:sz w:val="24"/>
          <w:szCs w:val="24"/>
        </w:rPr>
        <w:t xml:space="preserve"> Sachlichkeit, </w:t>
      </w:r>
      <w:r w:rsidR="009408E8">
        <w:rPr>
          <w:rFonts w:cs="Times New Roman"/>
          <w:sz w:val="24"/>
          <w:szCs w:val="24"/>
        </w:rPr>
        <w:t xml:space="preserve">mit </w:t>
      </w:r>
      <w:r w:rsidR="00965C18">
        <w:rPr>
          <w:rFonts w:cs="Times New Roman"/>
          <w:sz w:val="24"/>
          <w:szCs w:val="24"/>
        </w:rPr>
        <w:t>Schönberg</w:t>
      </w:r>
      <w:r w:rsidR="000C05AC" w:rsidRPr="00E2751C">
        <w:rPr>
          <w:rFonts w:cs="Times New Roman"/>
          <w:sz w:val="24"/>
          <w:szCs w:val="24"/>
        </w:rPr>
        <w:t xml:space="preserve"> und </w:t>
      </w:r>
      <w:proofErr w:type="spellStart"/>
      <w:r w:rsidR="000C05AC" w:rsidRPr="00E2751C">
        <w:rPr>
          <w:rFonts w:cs="Times New Roman"/>
          <w:sz w:val="24"/>
          <w:szCs w:val="24"/>
        </w:rPr>
        <w:t>Krenek</w:t>
      </w:r>
      <w:proofErr w:type="spellEnd"/>
      <w:r w:rsidR="000C05AC" w:rsidRPr="00E2751C">
        <w:rPr>
          <w:rFonts w:cs="Times New Roman"/>
          <w:sz w:val="24"/>
          <w:szCs w:val="24"/>
        </w:rPr>
        <w:t xml:space="preserve">, </w:t>
      </w:r>
      <w:r w:rsidR="004179F7">
        <w:rPr>
          <w:rFonts w:cs="Times New Roman"/>
          <w:sz w:val="24"/>
          <w:szCs w:val="24"/>
        </w:rPr>
        <w:t>de</w:t>
      </w:r>
      <w:r w:rsidR="009408E8">
        <w:rPr>
          <w:rFonts w:cs="Times New Roman"/>
          <w:sz w:val="24"/>
          <w:szCs w:val="24"/>
        </w:rPr>
        <w:t>n</w:t>
      </w:r>
      <w:r w:rsidR="00391081">
        <w:rPr>
          <w:rFonts w:cs="Times New Roman"/>
          <w:sz w:val="24"/>
          <w:szCs w:val="24"/>
        </w:rPr>
        <w:t xml:space="preserve"> Bilder</w:t>
      </w:r>
      <w:r w:rsidR="009408E8">
        <w:rPr>
          <w:rFonts w:cs="Times New Roman"/>
          <w:sz w:val="24"/>
          <w:szCs w:val="24"/>
        </w:rPr>
        <w:t>n</w:t>
      </w:r>
      <w:r w:rsidR="00391081">
        <w:rPr>
          <w:rFonts w:cs="Times New Roman"/>
          <w:sz w:val="24"/>
          <w:szCs w:val="24"/>
        </w:rPr>
        <w:t xml:space="preserve"> von</w:t>
      </w:r>
      <w:r w:rsidR="000F7B4C">
        <w:rPr>
          <w:rFonts w:cs="Times New Roman"/>
          <w:sz w:val="24"/>
          <w:szCs w:val="24"/>
        </w:rPr>
        <w:t xml:space="preserve"> </w:t>
      </w:r>
      <w:r w:rsidR="009408E8">
        <w:rPr>
          <w:rFonts w:cs="Times New Roman"/>
          <w:sz w:val="24"/>
          <w:szCs w:val="24"/>
        </w:rPr>
        <w:t>Beckmann, Feininger</w:t>
      </w:r>
      <w:r w:rsidR="000C05AC" w:rsidRPr="00E2751C">
        <w:rPr>
          <w:rFonts w:cs="Times New Roman"/>
          <w:sz w:val="24"/>
          <w:szCs w:val="24"/>
        </w:rPr>
        <w:t xml:space="preserve"> und </w:t>
      </w:r>
      <w:r w:rsidR="009408E8">
        <w:rPr>
          <w:rFonts w:cs="Times New Roman"/>
          <w:sz w:val="24"/>
          <w:szCs w:val="24"/>
        </w:rPr>
        <w:t>Kirchner</w:t>
      </w:r>
      <w:r w:rsidR="000C05AC" w:rsidRPr="00E2751C">
        <w:rPr>
          <w:rFonts w:cs="Times New Roman"/>
          <w:sz w:val="24"/>
          <w:szCs w:val="24"/>
        </w:rPr>
        <w:t xml:space="preserve"> </w:t>
      </w:r>
      <w:r w:rsidR="009408E8">
        <w:rPr>
          <w:rFonts w:cs="Times New Roman"/>
          <w:sz w:val="24"/>
          <w:szCs w:val="24"/>
        </w:rPr>
        <w:t>vertrau</w:t>
      </w:r>
      <w:r w:rsidR="00391081">
        <w:rPr>
          <w:rFonts w:cs="Times New Roman"/>
          <w:sz w:val="24"/>
          <w:szCs w:val="24"/>
        </w:rPr>
        <w:t xml:space="preserve">t </w:t>
      </w:r>
      <w:r w:rsidR="000C05AC" w:rsidRPr="00E2751C">
        <w:rPr>
          <w:rFonts w:cs="Times New Roman"/>
          <w:sz w:val="24"/>
          <w:szCs w:val="24"/>
        </w:rPr>
        <w:t>war</w:t>
      </w:r>
      <w:r w:rsidR="004179F7">
        <w:rPr>
          <w:rFonts w:cs="Times New Roman"/>
          <w:sz w:val="24"/>
          <w:szCs w:val="24"/>
        </w:rPr>
        <w:t>en</w:t>
      </w:r>
      <w:r w:rsidR="000C05AC" w:rsidRPr="00E2751C">
        <w:rPr>
          <w:rFonts w:cs="Times New Roman"/>
          <w:sz w:val="24"/>
          <w:szCs w:val="24"/>
        </w:rPr>
        <w:t>.</w:t>
      </w:r>
    </w:p>
    <w:p w:rsidR="000C05AC" w:rsidRDefault="00B87E89" w:rsidP="007E4E35">
      <w:pPr>
        <w:spacing w:after="0"/>
        <w:rPr>
          <w:rFonts w:cs="Times New Roman"/>
          <w:sz w:val="24"/>
          <w:szCs w:val="24"/>
        </w:rPr>
      </w:pPr>
      <w:r>
        <w:rPr>
          <w:rFonts w:cs="Times New Roman"/>
          <w:sz w:val="24"/>
          <w:szCs w:val="24"/>
        </w:rPr>
        <w:tab/>
      </w:r>
      <w:r w:rsidR="00391081">
        <w:rPr>
          <w:rFonts w:cs="Times New Roman"/>
          <w:sz w:val="24"/>
          <w:szCs w:val="24"/>
        </w:rPr>
        <w:t>Darüber hinaus war es p</w:t>
      </w:r>
      <w:r w:rsidR="000C05AC">
        <w:rPr>
          <w:rFonts w:cs="Times New Roman"/>
          <w:sz w:val="24"/>
          <w:szCs w:val="24"/>
        </w:rPr>
        <w:t xml:space="preserve">olitisch </w:t>
      </w:r>
      <w:r w:rsidR="000C05AC" w:rsidRPr="00E2751C">
        <w:rPr>
          <w:rFonts w:cs="Times New Roman"/>
          <w:sz w:val="24"/>
          <w:szCs w:val="24"/>
        </w:rPr>
        <w:t xml:space="preserve">töricht, ausgerechnet das pazifistische Engagement </w:t>
      </w:r>
      <w:r w:rsidR="009408E8">
        <w:rPr>
          <w:rFonts w:cs="Times New Roman"/>
          <w:sz w:val="24"/>
          <w:szCs w:val="24"/>
        </w:rPr>
        <w:t xml:space="preserve">der Linksintelligenz </w:t>
      </w:r>
      <w:r w:rsidR="000C05AC" w:rsidRPr="00E2751C">
        <w:rPr>
          <w:rFonts w:cs="Times New Roman"/>
          <w:sz w:val="24"/>
          <w:szCs w:val="24"/>
        </w:rPr>
        <w:t xml:space="preserve">als „linkssektiererischen Opportunismus“ abzutun. </w:t>
      </w:r>
      <w:r w:rsidR="0064495B">
        <w:rPr>
          <w:rFonts w:cs="Times New Roman"/>
          <w:sz w:val="24"/>
          <w:szCs w:val="24"/>
        </w:rPr>
        <w:t xml:space="preserve">Das Erscheinen von </w:t>
      </w:r>
      <w:r w:rsidR="00094293">
        <w:rPr>
          <w:rFonts w:cs="Times New Roman"/>
          <w:sz w:val="24"/>
          <w:szCs w:val="24"/>
        </w:rPr>
        <w:t>Heinrich Manns „Zola“-</w:t>
      </w:r>
      <w:r w:rsidR="0064495B">
        <w:rPr>
          <w:rFonts w:cs="Times New Roman"/>
          <w:sz w:val="24"/>
          <w:szCs w:val="24"/>
        </w:rPr>
        <w:t>Essay im November 1915</w:t>
      </w:r>
      <w:r w:rsidR="004179F7">
        <w:rPr>
          <w:rFonts w:cs="Times New Roman"/>
          <w:sz w:val="24"/>
          <w:szCs w:val="24"/>
        </w:rPr>
        <w:t xml:space="preserve"> </w:t>
      </w:r>
      <w:r w:rsidR="00094293">
        <w:rPr>
          <w:rFonts w:cs="Times New Roman"/>
          <w:sz w:val="24"/>
          <w:szCs w:val="24"/>
        </w:rPr>
        <w:t xml:space="preserve">war ein </w:t>
      </w:r>
      <w:r w:rsidR="0064495B">
        <w:rPr>
          <w:rFonts w:cs="Times New Roman"/>
          <w:sz w:val="24"/>
          <w:szCs w:val="24"/>
        </w:rPr>
        <w:t xml:space="preserve">eminent </w:t>
      </w:r>
      <w:r w:rsidR="00391081">
        <w:rPr>
          <w:rFonts w:cs="Times New Roman"/>
          <w:sz w:val="24"/>
          <w:szCs w:val="24"/>
        </w:rPr>
        <w:t>politischer</w:t>
      </w:r>
      <w:r w:rsidR="0064495B">
        <w:rPr>
          <w:rFonts w:cs="Times New Roman"/>
          <w:sz w:val="24"/>
          <w:szCs w:val="24"/>
        </w:rPr>
        <w:t>, bewundernswert wagemutiger</w:t>
      </w:r>
      <w:r w:rsidR="00391081">
        <w:rPr>
          <w:rFonts w:cs="Times New Roman"/>
          <w:sz w:val="24"/>
          <w:szCs w:val="24"/>
        </w:rPr>
        <w:t xml:space="preserve"> Akt gewesen</w:t>
      </w:r>
      <w:r w:rsidR="009401AB">
        <w:rPr>
          <w:rFonts w:cs="Times New Roman"/>
          <w:sz w:val="24"/>
          <w:szCs w:val="24"/>
        </w:rPr>
        <w:t>,</w:t>
      </w:r>
      <w:r w:rsidR="00391081">
        <w:rPr>
          <w:rFonts w:cs="Times New Roman"/>
          <w:sz w:val="24"/>
          <w:szCs w:val="24"/>
        </w:rPr>
        <w:t xml:space="preserve"> </w:t>
      </w:r>
      <w:r w:rsidR="0064495B">
        <w:rPr>
          <w:rFonts w:cs="Times New Roman"/>
          <w:sz w:val="24"/>
          <w:szCs w:val="24"/>
        </w:rPr>
        <w:t>der</w:t>
      </w:r>
      <w:r w:rsidR="00391081">
        <w:rPr>
          <w:rFonts w:cs="Times New Roman"/>
          <w:sz w:val="24"/>
          <w:szCs w:val="24"/>
        </w:rPr>
        <w:t xml:space="preserve"> </w:t>
      </w:r>
      <w:r w:rsidR="0099736D">
        <w:rPr>
          <w:rFonts w:cs="Times New Roman"/>
          <w:sz w:val="24"/>
          <w:szCs w:val="24"/>
        </w:rPr>
        <w:t>kaum verhüllte Angriff auf</w:t>
      </w:r>
      <w:r w:rsidR="00527BD6">
        <w:rPr>
          <w:rFonts w:cs="Times New Roman"/>
          <w:sz w:val="24"/>
          <w:szCs w:val="24"/>
        </w:rPr>
        <w:t xml:space="preserve"> den </w:t>
      </w:r>
      <w:r w:rsidR="0099736D">
        <w:rPr>
          <w:rFonts w:cs="Times New Roman"/>
          <w:sz w:val="24"/>
          <w:szCs w:val="24"/>
        </w:rPr>
        <w:t xml:space="preserve">preußisch-deutschen </w:t>
      </w:r>
      <w:r w:rsidR="00527BD6">
        <w:rPr>
          <w:rFonts w:cs="Times New Roman"/>
          <w:sz w:val="24"/>
          <w:szCs w:val="24"/>
        </w:rPr>
        <w:t>Militarismus</w:t>
      </w:r>
      <w:r w:rsidR="0099736D">
        <w:rPr>
          <w:rFonts w:cs="Times New Roman"/>
          <w:sz w:val="24"/>
          <w:szCs w:val="24"/>
        </w:rPr>
        <w:t xml:space="preserve"> und die Kriegszielpolitik. </w:t>
      </w:r>
      <w:r w:rsidR="0064495B">
        <w:rPr>
          <w:rFonts w:cs="Times New Roman"/>
          <w:sz w:val="24"/>
          <w:szCs w:val="24"/>
        </w:rPr>
        <w:t xml:space="preserve">Hier hatte sich erstmals ein Einzelner gegen die Mehrheit der </w:t>
      </w:r>
      <w:r>
        <w:rPr>
          <w:rFonts w:cs="Times New Roman"/>
          <w:sz w:val="24"/>
          <w:szCs w:val="24"/>
        </w:rPr>
        <w:t xml:space="preserve">bürgerlichen </w:t>
      </w:r>
      <w:r w:rsidR="0064495B">
        <w:rPr>
          <w:rFonts w:cs="Times New Roman"/>
          <w:sz w:val="24"/>
          <w:szCs w:val="24"/>
        </w:rPr>
        <w:t>Intellektuellen</w:t>
      </w:r>
      <w:r>
        <w:rPr>
          <w:rFonts w:cs="Times New Roman"/>
          <w:sz w:val="24"/>
          <w:szCs w:val="24"/>
        </w:rPr>
        <w:t>:</w:t>
      </w:r>
      <w:r w:rsidR="0064495B">
        <w:rPr>
          <w:rFonts w:cs="Times New Roman"/>
          <w:sz w:val="24"/>
          <w:szCs w:val="24"/>
        </w:rPr>
        <w:t xml:space="preserve"> die Befürworter des Krieges, gestellt. </w:t>
      </w:r>
      <w:r w:rsidR="000C05AC" w:rsidRPr="00E2751C">
        <w:rPr>
          <w:rFonts w:cs="Times New Roman"/>
          <w:sz w:val="24"/>
          <w:szCs w:val="24"/>
        </w:rPr>
        <w:t>E</w:t>
      </w:r>
      <w:r w:rsidR="000C05AC">
        <w:rPr>
          <w:rFonts w:cs="Times New Roman"/>
          <w:sz w:val="24"/>
          <w:szCs w:val="24"/>
        </w:rPr>
        <w:t>rnst</w:t>
      </w:r>
      <w:r w:rsidR="000C05AC" w:rsidRPr="00E2751C">
        <w:rPr>
          <w:rFonts w:cs="Times New Roman"/>
          <w:sz w:val="24"/>
          <w:szCs w:val="24"/>
        </w:rPr>
        <w:t xml:space="preserve"> Toller</w:t>
      </w:r>
      <w:r w:rsidR="000F7B4C">
        <w:rPr>
          <w:rFonts w:cs="Times New Roman"/>
          <w:sz w:val="24"/>
          <w:szCs w:val="24"/>
        </w:rPr>
        <w:t xml:space="preserve">, </w:t>
      </w:r>
      <w:r>
        <w:rPr>
          <w:rFonts w:cs="Times New Roman"/>
          <w:sz w:val="24"/>
          <w:szCs w:val="24"/>
        </w:rPr>
        <w:t>der</w:t>
      </w:r>
      <w:r w:rsidR="0064495B">
        <w:rPr>
          <w:rFonts w:cs="Times New Roman"/>
          <w:sz w:val="24"/>
          <w:szCs w:val="24"/>
        </w:rPr>
        <w:t xml:space="preserve"> </w:t>
      </w:r>
      <w:r>
        <w:rPr>
          <w:rFonts w:cs="Times New Roman"/>
          <w:sz w:val="24"/>
          <w:szCs w:val="24"/>
        </w:rPr>
        <w:t>vielleicht bekannteste</w:t>
      </w:r>
      <w:r w:rsidR="000F7B4C">
        <w:rPr>
          <w:rFonts w:cs="Times New Roman"/>
          <w:sz w:val="24"/>
          <w:szCs w:val="24"/>
        </w:rPr>
        <w:t xml:space="preserve"> Repräsentant der </w:t>
      </w:r>
      <w:r w:rsidR="0064495B">
        <w:rPr>
          <w:rFonts w:cs="Times New Roman"/>
          <w:sz w:val="24"/>
          <w:szCs w:val="24"/>
        </w:rPr>
        <w:t>„expressionistischen Generation“</w:t>
      </w:r>
      <w:r w:rsidR="000F7B4C">
        <w:rPr>
          <w:rFonts w:cs="Times New Roman"/>
          <w:sz w:val="24"/>
          <w:szCs w:val="24"/>
        </w:rPr>
        <w:t>,</w:t>
      </w:r>
      <w:r w:rsidR="000C05AC" w:rsidRPr="00E2751C">
        <w:rPr>
          <w:rFonts w:cs="Times New Roman"/>
          <w:sz w:val="24"/>
          <w:szCs w:val="24"/>
        </w:rPr>
        <w:t xml:space="preserve"> war für sein</w:t>
      </w:r>
      <w:r w:rsidR="000C05AC">
        <w:rPr>
          <w:rFonts w:cs="Times New Roman"/>
          <w:sz w:val="24"/>
          <w:szCs w:val="24"/>
        </w:rPr>
        <w:t>e</w:t>
      </w:r>
      <w:r w:rsidR="000C05AC" w:rsidRPr="00E2751C">
        <w:rPr>
          <w:rFonts w:cs="Times New Roman"/>
          <w:sz w:val="24"/>
          <w:szCs w:val="24"/>
        </w:rPr>
        <w:t xml:space="preserve"> </w:t>
      </w:r>
      <w:r w:rsidR="000C05AC">
        <w:rPr>
          <w:rFonts w:cs="Times New Roman"/>
          <w:sz w:val="24"/>
          <w:szCs w:val="24"/>
        </w:rPr>
        <w:t>Beteiligung an der Räterepublik</w:t>
      </w:r>
      <w:r w:rsidR="000C05AC" w:rsidRPr="00E2751C">
        <w:rPr>
          <w:rFonts w:cs="Times New Roman"/>
          <w:sz w:val="24"/>
          <w:szCs w:val="24"/>
        </w:rPr>
        <w:t xml:space="preserve"> </w:t>
      </w:r>
      <w:r w:rsidR="00FC3E27">
        <w:rPr>
          <w:rFonts w:cs="Times New Roman"/>
          <w:sz w:val="24"/>
          <w:szCs w:val="24"/>
        </w:rPr>
        <w:t>mit</w:t>
      </w:r>
      <w:r w:rsidR="000C05AC">
        <w:rPr>
          <w:rFonts w:cs="Times New Roman"/>
          <w:sz w:val="24"/>
          <w:szCs w:val="24"/>
        </w:rPr>
        <w:t xml:space="preserve"> Festungshaft </w:t>
      </w:r>
      <w:r w:rsidR="00FC3E27">
        <w:rPr>
          <w:rFonts w:cs="Times New Roman"/>
          <w:sz w:val="24"/>
          <w:szCs w:val="24"/>
        </w:rPr>
        <w:t>bestraf</w:t>
      </w:r>
      <w:r w:rsidR="000C05AC">
        <w:rPr>
          <w:rFonts w:cs="Times New Roman"/>
          <w:sz w:val="24"/>
          <w:szCs w:val="24"/>
        </w:rPr>
        <w:t>t worden</w:t>
      </w:r>
      <w:r w:rsidR="000C05AC" w:rsidRPr="00E2751C">
        <w:rPr>
          <w:rFonts w:cs="Times New Roman"/>
          <w:sz w:val="24"/>
          <w:szCs w:val="24"/>
        </w:rPr>
        <w:t xml:space="preserve">; </w:t>
      </w:r>
      <w:r w:rsidR="00C27D55">
        <w:rPr>
          <w:rFonts w:cs="Times New Roman"/>
          <w:sz w:val="24"/>
          <w:szCs w:val="24"/>
        </w:rPr>
        <w:t xml:space="preserve">Carl von </w:t>
      </w:r>
      <w:r w:rsidR="000C05AC" w:rsidRPr="00E2751C">
        <w:rPr>
          <w:rFonts w:cs="Times New Roman"/>
          <w:sz w:val="24"/>
          <w:szCs w:val="24"/>
        </w:rPr>
        <w:t>Ossietzky</w:t>
      </w:r>
      <w:r>
        <w:rPr>
          <w:rFonts w:cs="Times New Roman"/>
          <w:i/>
          <w:sz w:val="24"/>
          <w:szCs w:val="24"/>
        </w:rPr>
        <w:t xml:space="preserve"> </w:t>
      </w:r>
      <w:r>
        <w:rPr>
          <w:rFonts w:cs="Times New Roman"/>
          <w:sz w:val="24"/>
          <w:szCs w:val="24"/>
        </w:rPr>
        <w:t xml:space="preserve">war </w:t>
      </w:r>
      <w:r w:rsidR="00C27D55">
        <w:rPr>
          <w:rFonts w:cs="Times New Roman"/>
          <w:sz w:val="24"/>
          <w:szCs w:val="24"/>
        </w:rPr>
        <w:t xml:space="preserve">im </w:t>
      </w:r>
      <w:r w:rsidR="00C27D55">
        <w:rPr>
          <w:rFonts w:cs="Times New Roman"/>
          <w:i/>
          <w:sz w:val="24"/>
          <w:szCs w:val="24"/>
        </w:rPr>
        <w:t>Weltbühnen-</w:t>
      </w:r>
      <w:r w:rsidR="00C27D55">
        <w:rPr>
          <w:rFonts w:cs="Times New Roman"/>
          <w:sz w:val="24"/>
          <w:szCs w:val="24"/>
        </w:rPr>
        <w:t xml:space="preserve">Prozess als der </w:t>
      </w:r>
      <w:r>
        <w:rPr>
          <w:rFonts w:cs="Times New Roman"/>
          <w:sz w:val="24"/>
          <w:szCs w:val="24"/>
        </w:rPr>
        <w:t>für einen Artikel</w:t>
      </w:r>
      <w:r w:rsidR="00C27D55">
        <w:rPr>
          <w:rFonts w:cs="Times New Roman"/>
          <w:sz w:val="24"/>
          <w:szCs w:val="24"/>
        </w:rPr>
        <w:t xml:space="preserve"> </w:t>
      </w:r>
      <w:r>
        <w:rPr>
          <w:rFonts w:cs="Times New Roman"/>
          <w:sz w:val="24"/>
          <w:szCs w:val="24"/>
        </w:rPr>
        <w:t xml:space="preserve">über die geheime Aufrüstung der Reichswehr </w:t>
      </w:r>
      <w:r w:rsidR="00C27D55">
        <w:rPr>
          <w:rFonts w:cs="Times New Roman"/>
          <w:sz w:val="24"/>
          <w:szCs w:val="24"/>
        </w:rPr>
        <w:t>verantwortliche Redakteur</w:t>
      </w:r>
      <w:r>
        <w:rPr>
          <w:rFonts w:cs="Times New Roman"/>
          <w:sz w:val="24"/>
          <w:szCs w:val="24"/>
        </w:rPr>
        <w:t xml:space="preserve"> </w:t>
      </w:r>
      <w:r w:rsidR="00C27D55">
        <w:rPr>
          <w:rFonts w:cs="Times New Roman"/>
          <w:sz w:val="24"/>
          <w:szCs w:val="24"/>
        </w:rPr>
        <w:t>vom Reichsgericht wegen „Landesverrat</w:t>
      </w:r>
      <w:r w:rsidR="00ED0501">
        <w:rPr>
          <w:rFonts w:cs="Times New Roman"/>
          <w:sz w:val="24"/>
          <w:szCs w:val="24"/>
        </w:rPr>
        <w:t>s</w:t>
      </w:r>
      <w:r w:rsidR="00C27D55">
        <w:rPr>
          <w:rFonts w:cs="Times New Roman"/>
          <w:sz w:val="24"/>
          <w:szCs w:val="24"/>
        </w:rPr>
        <w:t xml:space="preserve">“ </w:t>
      </w:r>
      <w:r>
        <w:rPr>
          <w:rFonts w:cs="Times New Roman"/>
          <w:sz w:val="24"/>
          <w:szCs w:val="24"/>
        </w:rPr>
        <w:t xml:space="preserve">zu einer </w:t>
      </w:r>
      <w:r w:rsidR="00C27D55">
        <w:rPr>
          <w:rFonts w:cs="Times New Roman"/>
          <w:sz w:val="24"/>
          <w:szCs w:val="24"/>
        </w:rPr>
        <w:t>Haft</w:t>
      </w:r>
      <w:r>
        <w:rPr>
          <w:rFonts w:cs="Times New Roman"/>
          <w:sz w:val="24"/>
          <w:szCs w:val="24"/>
        </w:rPr>
        <w:t xml:space="preserve">strafe </w:t>
      </w:r>
      <w:r w:rsidR="00C27D55">
        <w:rPr>
          <w:rFonts w:cs="Times New Roman"/>
          <w:sz w:val="24"/>
          <w:szCs w:val="24"/>
        </w:rPr>
        <w:t xml:space="preserve">vom einem Jahr und sechs Monaten </w:t>
      </w:r>
      <w:r>
        <w:rPr>
          <w:rFonts w:cs="Times New Roman"/>
          <w:sz w:val="24"/>
          <w:szCs w:val="24"/>
        </w:rPr>
        <w:t>verurteilt worden. N</w:t>
      </w:r>
      <w:r w:rsidR="000F7B4C">
        <w:rPr>
          <w:rFonts w:cs="Times New Roman"/>
          <w:sz w:val="24"/>
          <w:szCs w:val="24"/>
        </w:rPr>
        <w:t xml:space="preserve">och in der Nacht des Reichstagsbrandes </w:t>
      </w:r>
      <w:r>
        <w:rPr>
          <w:rFonts w:cs="Times New Roman"/>
          <w:sz w:val="24"/>
          <w:szCs w:val="24"/>
        </w:rPr>
        <w:t>w</w:t>
      </w:r>
      <w:r w:rsidR="009401AB">
        <w:rPr>
          <w:rFonts w:cs="Times New Roman"/>
          <w:sz w:val="24"/>
          <w:szCs w:val="24"/>
        </w:rPr>
        <w:t>urde</w:t>
      </w:r>
      <w:r>
        <w:rPr>
          <w:rFonts w:cs="Times New Roman"/>
          <w:sz w:val="24"/>
          <w:szCs w:val="24"/>
        </w:rPr>
        <w:t xml:space="preserve"> er verhaftet </w:t>
      </w:r>
      <w:r w:rsidR="00FC3E27">
        <w:rPr>
          <w:rFonts w:cs="Times New Roman"/>
          <w:sz w:val="24"/>
          <w:szCs w:val="24"/>
        </w:rPr>
        <w:t>und anschließend in ein KZ eingewiesen</w:t>
      </w:r>
      <w:r>
        <w:rPr>
          <w:rFonts w:cs="Times New Roman"/>
          <w:sz w:val="24"/>
          <w:szCs w:val="24"/>
        </w:rPr>
        <w:t>.</w:t>
      </w:r>
      <w:r w:rsidR="000C05AC" w:rsidRPr="00E2751C">
        <w:rPr>
          <w:rFonts w:cs="Times New Roman"/>
          <w:sz w:val="24"/>
          <w:szCs w:val="24"/>
        </w:rPr>
        <w:t xml:space="preserve"> Erich Mühsam</w:t>
      </w:r>
      <w:r>
        <w:rPr>
          <w:rFonts w:cs="Times New Roman"/>
          <w:sz w:val="24"/>
          <w:szCs w:val="24"/>
        </w:rPr>
        <w:t xml:space="preserve">, </w:t>
      </w:r>
      <w:r w:rsidR="00276BE9">
        <w:rPr>
          <w:rFonts w:cs="Times New Roman"/>
          <w:sz w:val="24"/>
          <w:szCs w:val="24"/>
        </w:rPr>
        <w:t>ebenfalls eine Zentralgestalt der Räterepublik</w:t>
      </w:r>
      <w:r>
        <w:rPr>
          <w:rFonts w:cs="Times New Roman"/>
          <w:sz w:val="24"/>
          <w:szCs w:val="24"/>
        </w:rPr>
        <w:t>, war</w:t>
      </w:r>
      <w:r w:rsidR="000C05AC" w:rsidRPr="00E2751C">
        <w:rPr>
          <w:rFonts w:cs="Times New Roman"/>
          <w:sz w:val="24"/>
          <w:szCs w:val="24"/>
        </w:rPr>
        <w:t xml:space="preserve"> im KZ ermordet worden. Für die Münchner Räterepublik</w:t>
      </w:r>
      <w:r w:rsidR="006625AB">
        <w:rPr>
          <w:rFonts w:cs="Times New Roman"/>
          <w:sz w:val="24"/>
          <w:szCs w:val="24"/>
        </w:rPr>
        <w:t xml:space="preserve"> </w:t>
      </w:r>
      <w:r w:rsidR="00ED0501">
        <w:rPr>
          <w:rFonts w:cs="Times New Roman"/>
          <w:sz w:val="24"/>
          <w:szCs w:val="24"/>
        </w:rPr>
        <w:t xml:space="preserve">hatten </w:t>
      </w:r>
      <w:r w:rsidR="000C05AC" w:rsidRPr="00E2751C">
        <w:rPr>
          <w:rFonts w:cs="Times New Roman"/>
          <w:sz w:val="24"/>
          <w:szCs w:val="24"/>
        </w:rPr>
        <w:t xml:space="preserve">Hunderte </w:t>
      </w:r>
      <w:r w:rsidR="00ED0501">
        <w:rPr>
          <w:rFonts w:cs="Times New Roman"/>
          <w:sz w:val="24"/>
          <w:szCs w:val="24"/>
        </w:rPr>
        <w:t xml:space="preserve">Arbeiter </w:t>
      </w:r>
      <w:r w:rsidR="000C05AC" w:rsidRPr="00E2751C">
        <w:rPr>
          <w:rFonts w:cs="Times New Roman"/>
          <w:sz w:val="24"/>
          <w:szCs w:val="24"/>
        </w:rPr>
        <w:t>ihr Leben geopfert, Tausende waren in die Gefängnisse gekommen. Sollte das alles ein Irrweg</w:t>
      </w:r>
      <w:r w:rsidR="006625AB">
        <w:rPr>
          <w:rFonts w:cs="Times New Roman"/>
          <w:sz w:val="24"/>
          <w:szCs w:val="24"/>
        </w:rPr>
        <w:t>, „USPD-Ideologie“,</w:t>
      </w:r>
      <w:r w:rsidR="000C05AC" w:rsidRPr="00E2751C">
        <w:rPr>
          <w:rFonts w:cs="Times New Roman"/>
          <w:sz w:val="24"/>
          <w:szCs w:val="24"/>
        </w:rPr>
        <w:t xml:space="preserve"> gewesen sein? </w:t>
      </w:r>
    </w:p>
    <w:p w:rsidR="000C05AC" w:rsidRDefault="000C05AC" w:rsidP="007E4E35">
      <w:pPr>
        <w:spacing w:after="0"/>
        <w:rPr>
          <w:rFonts w:cs="Times New Roman"/>
          <w:sz w:val="24"/>
          <w:szCs w:val="24"/>
        </w:rPr>
      </w:pPr>
      <w:r>
        <w:rPr>
          <w:rFonts w:cs="Times New Roman"/>
          <w:sz w:val="24"/>
          <w:szCs w:val="24"/>
        </w:rPr>
        <w:tab/>
      </w:r>
      <w:r w:rsidRPr="00E2751C">
        <w:rPr>
          <w:rFonts w:cs="Times New Roman"/>
          <w:sz w:val="24"/>
          <w:szCs w:val="24"/>
        </w:rPr>
        <w:t xml:space="preserve">Ähnlich </w:t>
      </w:r>
      <w:r w:rsidR="006625AB">
        <w:rPr>
          <w:rFonts w:cs="Times New Roman"/>
          <w:sz w:val="24"/>
          <w:szCs w:val="24"/>
        </w:rPr>
        <w:t>verhielt es sich mit dem</w:t>
      </w:r>
      <w:r w:rsidRPr="00E2751C">
        <w:rPr>
          <w:rFonts w:cs="Times New Roman"/>
          <w:sz w:val="24"/>
          <w:szCs w:val="24"/>
        </w:rPr>
        <w:t xml:space="preserve"> Formalismus-Vorwurf. Man konnte </w:t>
      </w:r>
      <w:r>
        <w:rPr>
          <w:rFonts w:cs="Times New Roman"/>
          <w:sz w:val="24"/>
          <w:szCs w:val="24"/>
        </w:rPr>
        <w:t xml:space="preserve">an </w:t>
      </w:r>
      <w:r w:rsidRPr="00E2751C">
        <w:rPr>
          <w:rFonts w:cs="Times New Roman"/>
          <w:sz w:val="24"/>
          <w:szCs w:val="24"/>
        </w:rPr>
        <w:t xml:space="preserve">den Expressionisten </w:t>
      </w:r>
      <w:r>
        <w:rPr>
          <w:rFonts w:cs="Times New Roman"/>
          <w:sz w:val="24"/>
          <w:szCs w:val="24"/>
        </w:rPr>
        <w:t>kritisier</w:t>
      </w:r>
      <w:r w:rsidRPr="00E2751C">
        <w:rPr>
          <w:rFonts w:cs="Times New Roman"/>
          <w:sz w:val="24"/>
          <w:szCs w:val="24"/>
        </w:rPr>
        <w:t xml:space="preserve">en, </w:t>
      </w:r>
      <w:r>
        <w:rPr>
          <w:rFonts w:cs="Times New Roman"/>
          <w:sz w:val="24"/>
          <w:szCs w:val="24"/>
        </w:rPr>
        <w:t>dass</w:t>
      </w:r>
      <w:r w:rsidRPr="00E2751C">
        <w:rPr>
          <w:rFonts w:cs="Times New Roman"/>
          <w:sz w:val="24"/>
          <w:szCs w:val="24"/>
        </w:rPr>
        <w:t xml:space="preserve"> sie zu spontan, zu chaotisch, zu impulsiv</w:t>
      </w:r>
      <w:r>
        <w:rPr>
          <w:rFonts w:cs="Times New Roman"/>
          <w:sz w:val="24"/>
          <w:szCs w:val="24"/>
        </w:rPr>
        <w:t>,</w:t>
      </w:r>
      <w:r w:rsidRPr="00E2751C">
        <w:rPr>
          <w:rFonts w:cs="Times New Roman"/>
          <w:sz w:val="24"/>
          <w:szCs w:val="24"/>
        </w:rPr>
        <w:t xml:space="preserve"> </w:t>
      </w:r>
      <w:r>
        <w:rPr>
          <w:rFonts w:cs="Times New Roman"/>
          <w:sz w:val="24"/>
          <w:szCs w:val="24"/>
        </w:rPr>
        <w:t>a</w:t>
      </w:r>
      <w:r w:rsidRPr="00E2751C">
        <w:rPr>
          <w:rFonts w:cs="Times New Roman"/>
          <w:sz w:val="24"/>
          <w:szCs w:val="24"/>
        </w:rPr>
        <w:t>ber gewi</w:t>
      </w:r>
      <w:r>
        <w:rPr>
          <w:rFonts w:cs="Times New Roman"/>
          <w:sz w:val="24"/>
          <w:szCs w:val="24"/>
        </w:rPr>
        <w:t>ss</w:t>
      </w:r>
      <w:r w:rsidRPr="00E2751C">
        <w:rPr>
          <w:rFonts w:cs="Times New Roman"/>
          <w:sz w:val="24"/>
          <w:szCs w:val="24"/>
        </w:rPr>
        <w:t xml:space="preserve"> nicht, </w:t>
      </w:r>
      <w:r>
        <w:rPr>
          <w:rFonts w:cs="Times New Roman"/>
          <w:sz w:val="24"/>
          <w:szCs w:val="24"/>
        </w:rPr>
        <w:t>dass</w:t>
      </w:r>
      <w:r w:rsidRPr="00E2751C">
        <w:rPr>
          <w:rFonts w:cs="Times New Roman"/>
          <w:sz w:val="24"/>
          <w:szCs w:val="24"/>
        </w:rPr>
        <w:t xml:space="preserve"> sie „Formalisten“ gewesen </w:t>
      </w:r>
      <w:r w:rsidR="00265780">
        <w:rPr>
          <w:rFonts w:cs="Times New Roman"/>
          <w:sz w:val="24"/>
          <w:szCs w:val="24"/>
        </w:rPr>
        <w:t>sei</w:t>
      </w:r>
      <w:r w:rsidRPr="00E2751C">
        <w:rPr>
          <w:rFonts w:cs="Times New Roman"/>
          <w:sz w:val="24"/>
          <w:szCs w:val="24"/>
        </w:rPr>
        <w:t>en.</w:t>
      </w:r>
      <w:r w:rsidRPr="00687996">
        <w:rPr>
          <w:rFonts w:cs="Times New Roman"/>
          <w:sz w:val="24"/>
          <w:szCs w:val="24"/>
        </w:rPr>
        <w:t xml:space="preserve"> </w:t>
      </w:r>
      <w:r w:rsidR="000B7559">
        <w:rPr>
          <w:rFonts w:cs="Times New Roman"/>
          <w:sz w:val="24"/>
          <w:szCs w:val="24"/>
        </w:rPr>
        <w:t xml:space="preserve">Mit </w:t>
      </w:r>
      <w:r w:rsidR="00265780" w:rsidRPr="00E2751C">
        <w:rPr>
          <w:rFonts w:cs="Times New Roman"/>
          <w:sz w:val="24"/>
          <w:szCs w:val="24"/>
        </w:rPr>
        <w:t>„Dekadenz“</w:t>
      </w:r>
      <w:r>
        <w:rPr>
          <w:rFonts w:cs="Times New Roman"/>
          <w:sz w:val="24"/>
          <w:szCs w:val="24"/>
        </w:rPr>
        <w:t xml:space="preserve"> </w:t>
      </w:r>
      <w:r w:rsidR="00265780">
        <w:rPr>
          <w:rFonts w:cs="Times New Roman"/>
          <w:sz w:val="24"/>
          <w:szCs w:val="24"/>
        </w:rPr>
        <w:t>war d</w:t>
      </w:r>
      <w:r w:rsidR="000455A4">
        <w:rPr>
          <w:rFonts w:cs="Times New Roman"/>
          <w:sz w:val="24"/>
          <w:szCs w:val="24"/>
        </w:rPr>
        <w:t xml:space="preserve">ie Kultur der Weimarer Republik </w:t>
      </w:r>
      <w:r w:rsidR="000B7559">
        <w:rPr>
          <w:rFonts w:cs="Times New Roman"/>
          <w:sz w:val="24"/>
          <w:szCs w:val="24"/>
        </w:rPr>
        <w:t>auf keinen Fall gleichzusetzen</w:t>
      </w:r>
      <w:r w:rsidR="00265780">
        <w:rPr>
          <w:rFonts w:cs="Times New Roman"/>
          <w:sz w:val="24"/>
          <w:szCs w:val="24"/>
        </w:rPr>
        <w:t xml:space="preserve">. </w:t>
      </w:r>
      <w:r w:rsidRPr="00E2751C">
        <w:rPr>
          <w:rFonts w:cs="Times New Roman"/>
          <w:sz w:val="24"/>
          <w:szCs w:val="24"/>
        </w:rPr>
        <w:t xml:space="preserve">Der </w:t>
      </w:r>
      <w:r w:rsidR="000F7B4C">
        <w:rPr>
          <w:rFonts w:cs="Times New Roman"/>
          <w:sz w:val="24"/>
          <w:szCs w:val="24"/>
        </w:rPr>
        <w:t xml:space="preserve">Expressionismus, der </w:t>
      </w:r>
      <w:r w:rsidRPr="00E2751C">
        <w:rPr>
          <w:rFonts w:cs="Times New Roman"/>
          <w:sz w:val="24"/>
          <w:szCs w:val="24"/>
        </w:rPr>
        <w:t>Bauhaus-Stil</w:t>
      </w:r>
      <w:r w:rsidR="000F7B4C">
        <w:rPr>
          <w:rFonts w:cs="Times New Roman"/>
          <w:sz w:val="24"/>
          <w:szCs w:val="24"/>
        </w:rPr>
        <w:t>,</w:t>
      </w:r>
      <w:r w:rsidRPr="00E2751C">
        <w:rPr>
          <w:rFonts w:cs="Times New Roman"/>
          <w:sz w:val="24"/>
          <w:szCs w:val="24"/>
        </w:rPr>
        <w:t xml:space="preserve"> die moderne Musik, </w:t>
      </w:r>
      <w:r w:rsidR="003D5A1C">
        <w:rPr>
          <w:rFonts w:cs="Times New Roman"/>
          <w:sz w:val="24"/>
          <w:szCs w:val="24"/>
        </w:rPr>
        <w:t xml:space="preserve">die </w:t>
      </w:r>
      <w:r w:rsidR="000B7559">
        <w:rPr>
          <w:rFonts w:cs="Times New Roman"/>
          <w:sz w:val="24"/>
          <w:szCs w:val="24"/>
        </w:rPr>
        <w:t xml:space="preserve">zeitgenössische </w:t>
      </w:r>
      <w:r w:rsidR="003D5A1C">
        <w:rPr>
          <w:rFonts w:cs="Times New Roman"/>
          <w:sz w:val="24"/>
          <w:szCs w:val="24"/>
        </w:rPr>
        <w:t xml:space="preserve">Malerei, </w:t>
      </w:r>
      <w:r w:rsidR="006630B6">
        <w:rPr>
          <w:rFonts w:cs="Times New Roman"/>
          <w:sz w:val="24"/>
          <w:szCs w:val="24"/>
        </w:rPr>
        <w:t>Theater und</w:t>
      </w:r>
      <w:r w:rsidR="003D5A1C">
        <w:rPr>
          <w:rFonts w:cs="Times New Roman"/>
          <w:sz w:val="24"/>
          <w:szCs w:val="24"/>
        </w:rPr>
        <w:t xml:space="preserve"> Film, </w:t>
      </w:r>
      <w:r w:rsidRPr="00E2751C">
        <w:rPr>
          <w:rFonts w:cs="Times New Roman"/>
          <w:sz w:val="24"/>
          <w:szCs w:val="24"/>
        </w:rPr>
        <w:t>die Freudsche Psychologie</w:t>
      </w:r>
      <w:r w:rsidR="00265780">
        <w:rPr>
          <w:rFonts w:cs="Times New Roman"/>
          <w:sz w:val="24"/>
          <w:szCs w:val="24"/>
        </w:rPr>
        <w:t>,</w:t>
      </w:r>
      <w:r w:rsidRPr="00E2751C">
        <w:rPr>
          <w:rFonts w:cs="Times New Roman"/>
          <w:sz w:val="24"/>
          <w:szCs w:val="24"/>
        </w:rPr>
        <w:t xml:space="preserve"> die </w:t>
      </w:r>
      <w:r w:rsidR="000B7559">
        <w:rPr>
          <w:rFonts w:cs="Times New Roman"/>
          <w:sz w:val="24"/>
          <w:szCs w:val="24"/>
        </w:rPr>
        <w:t xml:space="preserve">modernen </w:t>
      </w:r>
      <w:r w:rsidRPr="00E2751C">
        <w:rPr>
          <w:rFonts w:cs="Times New Roman"/>
          <w:sz w:val="24"/>
          <w:szCs w:val="24"/>
        </w:rPr>
        <w:t>Natur</w:t>
      </w:r>
      <w:r>
        <w:rPr>
          <w:rFonts w:cs="Times New Roman"/>
          <w:sz w:val="24"/>
          <w:szCs w:val="24"/>
        </w:rPr>
        <w:t xml:space="preserve">- </w:t>
      </w:r>
      <w:r w:rsidRPr="00E2751C">
        <w:rPr>
          <w:rFonts w:cs="Times New Roman"/>
          <w:sz w:val="24"/>
          <w:szCs w:val="24"/>
        </w:rPr>
        <w:t xml:space="preserve">und Geisteswissenschaften </w:t>
      </w:r>
      <w:r>
        <w:rPr>
          <w:rFonts w:cs="Times New Roman"/>
          <w:sz w:val="24"/>
          <w:szCs w:val="24"/>
        </w:rPr>
        <w:t>waren</w:t>
      </w:r>
      <w:r w:rsidRPr="00E2751C">
        <w:rPr>
          <w:rFonts w:cs="Times New Roman"/>
          <w:sz w:val="24"/>
          <w:szCs w:val="24"/>
        </w:rPr>
        <w:t xml:space="preserve"> </w:t>
      </w:r>
      <w:r w:rsidRPr="000B7559">
        <w:rPr>
          <w:rFonts w:cs="Times New Roman"/>
          <w:i/>
          <w:sz w:val="24"/>
          <w:szCs w:val="24"/>
        </w:rPr>
        <w:t>Teile</w:t>
      </w:r>
      <w:r w:rsidRPr="00E2751C">
        <w:rPr>
          <w:rFonts w:cs="Times New Roman"/>
          <w:sz w:val="24"/>
          <w:szCs w:val="24"/>
        </w:rPr>
        <w:t xml:space="preserve"> </w:t>
      </w:r>
      <w:r w:rsidRPr="00965C18">
        <w:rPr>
          <w:rFonts w:cs="Times New Roman"/>
          <w:i/>
          <w:sz w:val="24"/>
          <w:szCs w:val="24"/>
        </w:rPr>
        <w:t>ein und derselben Welt</w:t>
      </w:r>
      <w:r w:rsidR="000B7559">
        <w:rPr>
          <w:rFonts w:cs="Times New Roman"/>
          <w:sz w:val="24"/>
          <w:szCs w:val="24"/>
        </w:rPr>
        <w:t xml:space="preserve"> – ebenso wie </w:t>
      </w:r>
      <w:r w:rsidR="009326BE">
        <w:rPr>
          <w:rFonts w:cs="Times New Roman"/>
          <w:sz w:val="24"/>
          <w:szCs w:val="24"/>
        </w:rPr>
        <w:t xml:space="preserve">die </w:t>
      </w:r>
      <w:r w:rsidR="00276BE9">
        <w:rPr>
          <w:rFonts w:cs="Times New Roman"/>
          <w:sz w:val="24"/>
          <w:szCs w:val="24"/>
        </w:rPr>
        <w:t>– vo</w:t>
      </w:r>
      <w:r w:rsidR="006630B6">
        <w:rPr>
          <w:rFonts w:cs="Times New Roman"/>
          <w:sz w:val="24"/>
          <w:szCs w:val="24"/>
        </w:rPr>
        <w:t xml:space="preserve">n Karl Korsch bis Walter Benjamin </w:t>
      </w:r>
      <w:r w:rsidR="00276BE9">
        <w:rPr>
          <w:rFonts w:cs="Times New Roman"/>
          <w:sz w:val="24"/>
          <w:szCs w:val="24"/>
        </w:rPr>
        <w:t>– r</w:t>
      </w:r>
      <w:r w:rsidR="006630B6">
        <w:rPr>
          <w:rFonts w:cs="Times New Roman"/>
          <w:sz w:val="24"/>
          <w:szCs w:val="24"/>
        </w:rPr>
        <w:t>eichenden Spielarten der marxistischen Theorie</w:t>
      </w:r>
      <w:r w:rsidRPr="00E2751C">
        <w:rPr>
          <w:rFonts w:cs="Times New Roman"/>
          <w:sz w:val="24"/>
          <w:szCs w:val="24"/>
        </w:rPr>
        <w:t xml:space="preserve">. Der Klassizismus, den </w:t>
      </w:r>
      <w:proofErr w:type="spellStart"/>
      <w:r w:rsidRPr="00E2751C">
        <w:rPr>
          <w:rFonts w:cs="Times New Roman"/>
          <w:sz w:val="24"/>
          <w:szCs w:val="24"/>
        </w:rPr>
        <w:t>Kurella</w:t>
      </w:r>
      <w:proofErr w:type="spellEnd"/>
      <w:r w:rsidRPr="00E2751C">
        <w:rPr>
          <w:rFonts w:cs="Times New Roman"/>
          <w:sz w:val="24"/>
          <w:szCs w:val="24"/>
        </w:rPr>
        <w:t xml:space="preserve"> predigte, war </w:t>
      </w:r>
      <w:r w:rsidR="007B3F2E">
        <w:rPr>
          <w:rFonts w:cs="Times New Roman"/>
          <w:sz w:val="24"/>
          <w:szCs w:val="24"/>
        </w:rPr>
        <w:t>es</w:t>
      </w:r>
      <w:r w:rsidRPr="00E2751C">
        <w:rPr>
          <w:rFonts w:cs="Times New Roman"/>
          <w:sz w:val="24"/>
          <w:szCs w:val="24"/>
        </w:rPr>
        <w:t xml:space="preserve"> </w:t>
      </w:r>
      <w:r w:rsidRPr="00E2751C">
        <w:rPr>
          <w:rFonts w:cs="Times New Roman"/>
          <w:i/>
          <w:sz w:val="24"/>
          <w:szCs w:val="24"/>
        </w:rPr>
        <w:t>nicht</w:t>
      </w:r>
      <w:r w:rsidR="007B3F2E">
        <w:rPr>
          <w:rFonts w:cs="Times New Roman"/>
          <w:sz w:val="24"/>
          <w:szCs w:val="24"/>
        </w:rPr>
        <w:t>. Wer</w:t>
      </w:r>
      <w:r w:rsidRPr="00E2751C">
        <w:rPr>
          <w:rFonts w:cs="Times New Roman"/>
          <w:sz w:val="24"/>
          <w:szCs w:val="24"/>
        </w:rPr>
        <w:t xml:space="preserve"> </w:t>
      </w:r>
      <w:r w:rsidR="007B3F2E">
        <w:rPr>
          <w:rFonts w:cs="Times New Roman"/>
          <w:sz w:val="24"/>
          <w:szCs w:val="24"/>
        </w:rPr>
        <w:t xml:space="preserve">wie </w:t>
      </w:r>
      <w:r w:rsidR="00D97DF4">
        <w:rPr>
          <w:rFonts w:cs="Times New Roman"/>
          <w:sz w:val="24"/>
          <w:szCs w:val="24"/>
        </w:rPr>
        <w:t>er</w:t>
      </w:r>
      <w:r w:rsidR="007B3F2E" w:rsidRPr="00E2751C">
        <w:rPr>
          <w:rFonts w:cs="Times New Roman"/>
          <w:sz w:val="24"/>
          <w:szCs w:val="24"/>
        </w:rPr>
        <w:t xml:space="preserve"> </w:t>
      </w:r>
      <w:r w:rsidR="007B3F2E">
        <w:rPr>
          <w:rFonts w:cs="Times New Roman"/>
          <w:sz w:val="24"/>
          <w:szCs w:val="24"/>
        </w:rPr>
        <w:t>argumentier</w:t>
      </w:r>
      <w:r w:rsidR="007B3F2E" w:rsidRPr="00E2751C">
        <w:rPr>
          <w:rFonts w:cs="Times New Roman"/>
          <w:sz w:val="24"/>
          <w:szCs w:val="24"/>
        </w:rPr>
        <w:t xml:space="preserve">te, </w:t>
      </w:r>
      <w:proofErr w:type="spellStart"/>
      <w:r w:rsidRPr="00E2751C">
        <w:rPr>
          <w:rFonts w:cs="Times New Roman"/>
          <w:sz w:val="24"/>
          <w:szCs w:val="24"/>
        </w:rPr>
        <w:t>eskamotierte</w:t>
      </w:r>
      <w:proofErr w:type="spellEnd"/>
      <w:r w:rsidRPr="00E2751C">
        <w:rPr>
          <w:rFonts w:cs="Times New Roman"/>
          <w:sz w:val="24"/>
          <w:szCs w:val="24"/>
        </w:rPr>
        <w:t xml:space="preserve"> sich</w:t>
      </w:r>
      <w:r w:rsidR="007B3F2E">
        <w:rPr>
          <w:rFonts w:cs="Times New Roman"/>
          <w:sz w:val="24"/>
          <w:szCs w:val="24"/>
        </w:rPr>
        <w:t xml:space="preserve"> a</w:t>
      </w:r>
      <w:r w:rsidRPr="00E2751C">
        <w:rPr>
          <w:rFonts w:cs="Times New Roman"/>
          <w:sz w:val="24"/>
          <w:szCs w:val="24"/>
        </w:rPr>
        <w:t>us der Gegenwart.</w:t>
      </w:r>
    </w:p>
    <w:p w:rsidR="009B3024" w:rsidRDefault="000C05AC" w:rsidP="007E4E35">
      <w:pPr>
        <w:spacing w:after="0"/>
        <w:rPr>
          <w:rFonts w:cs="Times New Roman"/>
          <w:sz w:val="24"/>
          <w:szCs w:val="24"/>
        </w:rPr>
      </w:pPr>
      <w:r>
        <w:rPr>
          <w:rFonts w:cs="Times New Roman"/>
          <w:sz w:val="24"/>
          <w:szCs w:val="24"/>
        </w:rPr>
        <w:tab/>
      </w:r>
      <w:r w:rsidR="000B7559">
        <w:rPr>
          <w:rFonts w:cs="Times New Roman"/>
          <w:sz w:val="24"/>
          <w:szCs w:val="24"/>
        </w:rPr>
        <w:t>A</w:t>
      </w:r>
      <w:r w:rsidR="00C47733">
        <w:rPr>
          <w:rFonts w:cs="Times New Roman"/>
          <w:sz w:val="24"/>
          <w:szCs w:val="24"/>
        </w:rPr>
        <w:t>nst</w:t>
      </w:r>
      <w:r w:rsidR="006630B6">
        <w:rPr>
          <w:rFonts w:cs="Times New Roman"/>
          <w:sz w:val="24"/>
          <w:szCs w:val="24"/>
        </w:rPr>
        <w:t>oß erregt</w:t>
      </w:r>
      <w:r w:rsidR="00C47733">
        <w:rPr>
          <w:rFonts w:cs="Times New Roman"/>
          <w:sz w:val="24"/>
          <w:szCs w:val="24"/>
        </w:rPr>
        <w:t xml:space="preserve">en </w:t>
      </w:r>
      <w:r w:rsidR="00A66573">
        <w:rPr>
          <w:rFonts w:cs="Times New Roman"/>
          <w:sz w:val="24"/>
          <w:szCs w:val="24"/>
        </w:rPr>
        <w:t>jedoch</w:t>
      </w:r>
      <w:r>
        <w:rPr>
          <w:rFonts w:cs="Times New Roman"/>
          <w:sz w:val="24"/>
          <w:szCs w:val="24"/>
        </w:rPr>
        <w:t xml:space="preserve"> auch </w:t>
      </w:r>
      <w:r w:rsidR="006630B6">
        <w:rPr>
          <w:rFonts w:cs="Times New Roman"/>
          <w:sz w:val="24"/>
          <w:szCs w:val="24"/>
        </w:rPr>
        <w:t xml:space="preserve">die </w:t>
      </w:r>
      <w:r w:rsidR="00C47733">
        <w:rPr>
          <w:rFonts w:cs="Times New Roman"/>
          <w:sz w:val="24"/>
          <w:szCs w:val="24"/>
        </w:rPr>
        <w:t>Beiträge</w:t>
      </w:r>
      <w:r w:rsidR="000B7559">
        <w:rPr>
          <w:rFonts w:cs="Times New Roman"/>
          <w:sz w:val="24"/>
          <w:szCs w:val="24"/>
        </w:rPr>
        <w:t xml:space="preserve"> Georg Lukács‘</w:t>
      </w:r>
      <w:r w:rsidR="00687996">
        <w:rPr>
          <w:rFonts w:cs="Times New Roman"/>
          <w:sz w:val="24"/>
          <w:szCs w:val="24"/>
        </w:rPr>
        <w:t>.</w:t>
      </w:r>
      <w:r w:rsidR="00C47733">
        <w:rPr>
          <w:rFonts w:cs="Times New Roman"/>
          <w:sz w:val="24"/>
          <w:szCs w:val="24"/>
        </w:rPr>
        <w:t xml:space="preserve"> Das war </w:t>
      </w:r>
      <w:r w:rsidR="000B7559">
        <w:rPr>
          <w:rFonts w:cs="Times New Roman"/>
          <w:sz w:val="24"/>
          <w:szCs w:val="24"/>
        </w:rPr>
        <w:t>intellektuell</w:t>
      </w:r>
      <w:r w:rsidR="00C47733">
        <w:rPr>
          <w:rFonts w:cs="Times New Roman"/>
          <w:sz w:val="24"/>
          <w:szCs w:val="24"/>
        </w:rPr>
        <w:t xml:space="preserve">e Bevormundung, gepaart mit Unkenntnis der aktuellen </w:t>
      </w:r>
      <w:r w:rsidR="000B7559">
        <w:rPr>
          <w:rFonts w:cs="Times New Roman"/>
          <w:sz w:val="24"/>
          <w:szCs w:val="24"/>
        </w:rPr>
        <w:t>Entwicklun</w:t>
      </w:r>
      <w:r w:rsidR="00C47733">
        <w:rPr>
          <w:rFonts w:cs="Times New Roman"/>
          <w:sz w:val="24"/>
          <w:szCs w:val="24"/>
        </w:rPr>
        <w:t xml:space="preserve">gen in der Literatur, der Musik, der </w:t>
      </w:r>
      <w:r w:rsidR="00A56C2E">
        <w:rPr>
          <w:rFonts w:cs="Times New Roman"/>
          <w:sz w:val="24"/>
          <w:szCs w:val="24"/>
        </w:rPr>
        <w:t>b</w:t>
      </w:r>
      <w:r w:rsidR="00C47733">
        <w:rPr>
          <w:rFonts w:cs="Times New Roman"/>
          <w:sz w:val="24"/>
          <w:szCs w:val="24"/>
        </w:rPr>
        <w:t xml:space="preserve">ildenden </w:t>
      </w:r>
      <w:r w:rsidR="00A56C2E">
        <w:rPr>
          <w:rFonts w:cs="Times New Roman"/>
          <w:sz w:val="24"/>
          <w:szCs w:val="24"/>
        </w:rPr>
        <w:t xml:space="preserve">und der darstellenden </w:t>
      </w:r>
      <w:r w:rsidR="00C47733">
        <w:rPr>
          <w:rFonts w:cs="Times New Roman"/>
          <w:sz w:val="24"/>
          <w:szCs w:val="24"/>
        </w:rPr>
        <w:t>Kunst</w:t>
      </w:r>
      <w:r w:rsidR="00A56C2E">
        <w:rPr>
          <w:rFonts w:cs="Times New Roman"/>
          <w:sz w:val="24"/>
          <w:szCs w:val="24"/>
        </w:rPr>
        <w:t xml:space="preserve">. </w:t>
      </w:r>
      <w:r w:rsidR="00354D68">
        <w:rPr>
          <w:rFonts w:cs="Times New Roman"/>
          <w:sz w:val="24"/>
          <w:szCs w:val="24"/>
        </w:rPr>
        <w:t xml:space="preserve">Lukács </w:t>
      </w:r>
      <w:r w:rsidR="000B7559">
        <w:rPr>
          <w:rFonts w:cs="Times New Roman"/>
          <w:sz w:val="24"/>
          <w:szCs w:val="24"/>
        </w:rPr>
        <w:t>argumentierte</w:t>
      </w:r>
      <w:r w:rsidR="00276BE9">
        <w:rPr>
          <w:rFonts w:cs="Times New Roman"/>
          <w:sz w:val="24"/>
          <w:szCs w:val="24"/>
        </w:rPr>
        <w:t xml:space="preserve"> so</w:t>
      </w:r>
      <w:r w:rsidR="00354D68">
        <w:rPr>
          <w:rFonts w:cs="Times New Roman"/>
          <w:sz w:val="24"/>
          <w:szCs w:val="24"/>
        </w:rPr>
        <w:t xml:space="preserve">, als </w:t>
      </w:r>
      <w:r w:rsidR="000B7559">
        <w:rPr>
          <w:rFonts w:cs="Times New Roman"/>
          <w:sz w:val="24"/>
          <w:szCs w:val="24"/>
        </w:rPr>
        <w:t xml:space="preserve">sei er </w:t>
      </w:r>
      <w:r w:rsidR="00354D68">
        <w:rPr>
          <w:rFonts w:cs="Times New Roman"/>
          <w:sz w:val="24"/>
          <w:szCs w:val="24"/>
        </w:rPr>
        <w:t xml:space="preserve">der </w:t>
      </w:r>
      <w:r w:rsidR="00A66573">
        <w:rPr>
          <w:rFonts w:cs="Times New Roman"/>
          <w:sz w:val="24"/>
          <w:szCs w:val="24"/>
        </w:rPr>
        <w:t>einzig</w:t>
      </w:r>
      <w:r w:rsidR="00354D68">
        <w:rPr>
          <w:rFonts w:cs="Times New Roman"/>
          <w:sz w:val="24"/>
          <w:szCs w:val="24"/>
        </w:rPr>
        <w:t xml:space="preserve"> legitime Interpret</w:t>
      </w:r>
      <w:r w:rsidR="000B7559" w:rsidRPr="000B7559">
        <w:rPr>
          <w:rFonts w:cs="Times New Roman"/>
          <w:sz w:val="24"/>
          <w:szCs w:val="24"/>
        </w:rPr>
        <w:t xml:space="preserve"> </w:t>
      </w:r>
      <w:r w:rsidR="000B7559">
        <w:rPr>
          <w:rFonts w:cs="Times New Roman"/>
          <w:sz w:val="24"/>
          <w:szCs w:val="24"/>
        </w:rPr>
        <w:t>des Marxismus-Leninismus</w:t>
      </w:r>
      <w:r w:rsidR="00354D68">
        <w:rPr>
          <w:rFonts w:cs="Times New Roman"/>
          <w:sz w:val="24"/>
          <w:szCs w:val="24"/>
        </w:rPr>
        <w:t xml:space="preserve">. </w:t>
      </w:r>
      <w:r w:rsidR="009326BE">
        <w:rPr>
          <w:rFonts w:cs="Times New Roman"/>
          <w:sz w:val="24"/>
          <w:szCs w:val="24"/>
        </w:rPr>
        <w:t>Durch sein autoritäres Auftreten</w:t>
      </w:r>
      <w:r w:rsidR="006630B6">
        <w:rPr>
          <w:rFonts w:cs="Times New Roman"/>
          <w:sz w:val="24"/>
          <w:szCs w:val="24"/>
        </w:rPr>
        <w:t xml:space="preserve"> </w:t>
      </w:r>
      <w:r w:rsidR="009326BE">
        <w:rPr>
          <w:rFonts w:cs="Times New Roman"/>
          <w:sz w:val="24"/>
          <w:szCs w:val="24"/>
        </w:rPr>
        <w:t>be</w:t>
      </w:r>
      <w:r w:rsidR="006630B6">
        <w:rPr>
          <w:rFonts w:cs="Times New Roman"/>
          <w:sz w:val="24"/>
          <w:szCs w:val="24"/>
        </w:rPr>
        <w:t xml:space="preserve">setzte </w:t>
      </w:r>
      <w:r w:rsidR="006630B6" w:rsidRPr="009326BE">
        <w:rPr>
          <w:rFonts w:cs="Times New Roman"/>
          <w:sz w:val="24"/>
          <w:szCs w:val="24"/>
        </w:rPr>
        <w:t>und</w:t>
      </w:r>
      <w:r w:rsidR="006630B6" w:rsidRPr="008C4E9D">
        <w:rPr>
          <w:rFonts w:cs="Times New Roman"/>
          <w:i/>
          <w:sz w:val="24"/>
          <w:szCs w:val="24"/>
        </w:rPr>
        <w:t xml:space="preserve"> beherrschte</w:t>
      </w:r>
      <w:r w:rsidR="006630B6">
        <w:rPr>
          <w:rFonts w:cs="Times New Roman"/>
          <w:sz w:val="24"/>
          <w:szCs w:val="24"/>
        </w:rPr>
        <w:t xml:space="preserve"> </w:t>
      </w:r>
      <w:r w:rsidR="009326BE">
        <w:rPr>
          <w:rFonts w:cs="Times New Roman"/>
          <w:sz w:val="24"/>
          <w:szCs w:val="24"/>
        </w:rPr>
        <w:t>er die</w:t>
      </w:r>
      <w:r w:rsidR="006630B6">
        <w:rPr>
          <w:rFonts w:cs="Times New Roman"/>
          <w:sz w:val="24"/>
          <w:szCs w:val="24"/>
        </w:rPr>
        <w:t xml:space="preserve"> Diskussion</w:t>
      </w:r>
      <w:r w:rsidR="008C4E9D">
        <w:rPr>
          <w:rFonts w:cs="Times New Roman"/>
          <w:sz w:val="24"/>
          <w:szCs w:val="24"/>
        </w:rPr>
        <w:t xml:space="preserve">. </w:t>
      </w:r>
      <w:r w:rsidR="000B7559">
        <w:rPr>
          <w:rFonts w:cs="Times New Roman"/>
          <w:sz w:val="24"/>
          <w:szCs w:val="24"/>
        </w:rPr>
        <w:t xml:space="preserve">Dieser doktrinäre Zug der Debatte irritierte die Beobachter. </w:t>
      </w:r>
      <w:r w:rsidR="003D4ADD">
        <w:rPr>
          <w:rFonts w:cs="Times New Roman"/>
          <w:sz w:val="24"/>
          <w:szCs w:val="24"/>
        </w:rPr>
        <w:t xml:space="preserve">Auf die </w:t>
      </w:r>
      <w:r w:rsidR="007E4E35" w:rsidRPr="00E2751C">
        <w:rPr>
          <w:rFonts w:cs="Times New Roman"/>
          <w:sz w:val="24"/>
          <w:szCs w:val="24"/>
        </w:rPr>
        <w:t xml:space="preserve">naheliegende Vermutung, </w:t>
      </w:r>
      <w:r w:rsidR="007E4E35">
        <w:rPr>
          <w:rFonts w:cs="Times New Roman"/>
          <w:sz w:val="24"/>
          <w:szCs w:val="24"/>
        </w:rPr>
        <w:t>dass</w:t>
      </w:r>
      <w:r w:rsidR="007E4E35" w:rsidRPr="00E2751C">
        <w:rPr>
          <w:rFonts w:cs="Times New Roman"/>
          <w:sz w:val="24"/>
          <w:szCs w:val="24"/>
        </w:rPr>
        <w:t xml:space="preserve"> es sich bei der Expressionismus-Debatte </w:t>
      </w:r>
      <w:r w:rsidR="00687996">
        <w:rPr>
          <w:rFonts w:cs="Times New Roman"/>
          <w:sz w:val="24"/>
          <w:szCs w:val="24"/>
        </w:rPr>
        <w:t xml:space="preserve">in Wahrheit </w:t>
      </w:r>
      <w:r w:rsidR="007E4E35" w:rsidRPr="00E2751C">
        <w:rPr>
          <w:rFonts w:cs="Times New Roman"/>
          <w:sz w:val="24"/>
          <w:szCs w:val="24"/>
        </w:rPr>
        <w:t>um eine parteioffiziell</w:t>
      </w:r>
      <w:r w:rsidR="003D4ADD">
        <w:rPr>
          <w:rFonts w:cs="Times New Roman"/>
          <w:sz w:val="24"/>
          <w:szCs w:val="24"/>
        </w:rPr>
        <w:t xml:space="preserve"> ge</w:t>
      </w:r>
      <w:r w:rsidR="007B3F2E">
        <w:rPr>
          <w:rFonts w:cs="Times New Roman"/>
          <w:sz w:val="24"/>
          <w:szCs w:val="24"/>
        </w:rPr>
        <w:t>steuert</w:t>
      </w:r>
      <w:r w:rsidR="007E4E35" w:rsidRPr="00E2751C">
        <w:rPr>
          <w:rFonts w:cs="Times New Roman"/>
          <w:sz w:val="24"/>
          <w:szCs w:val="24"/>
        </w:rPr>
        <w:t xml:space="preserve">e </w:t>
      </w:r>
      <w:r w:rsidR="007B3F2E">
        <w:rPr>
          <w:rFonts w:cs="Times New Roman"/>
          <w:sz w:val="24"/>
          <w:szCs w:val="24"/>
        </w:rPr>
        <w:t>Kampagne</w:t>
      </w:r>
      <w:r w:rsidR="007E4E35" w:rsidRPr="00E2751C">
        <w:rPr>
          <w:rFonts w:cs="Times New Roman"/>
          <w:sz w:val="24"/>
          <w:szCs w:val="24"/>
        </w:rPr>
        <w:t>, eine Reglementierungsmaßnahme, handeln könne</w:t>
      </w:r>
      <w:r w:rsidR="003D4ADD">
        <w:rPr>
          <w:rFonts w:cs="Times New Roman"/>
          <w:sz w:val="24"/>
          <w:szCs w:val="24"/>
        </w:rPr>
        <w:t xml:space="preserve">, </w:t>
      </w:r>
      <w:r w:rsidR="003D5A1C">
        <w:rPr>
          <w:rFonts w:cs="Times New Roman"/>
          <w:sz w:val="24"/>
          <w:szCs w:val="24"/>
        </w:rPr>
        <w:t>hinter de</w:t>
      </w:r>
      <w:r w:rsidR="00D97DF4">
        <w:rPr>
          <w:rFonts w:cs="Times New Roman"/>
          <w:sz w:val="24"/>
          <w:szCs w:val="24"/>
        </w:rPr>
        <w:t>r</w:t>
      </w:r>
      <w:r w:rsidR="003D5A1C">
        <w:rPr>
          <w:rFonts w:cs="Times New Roman"/>
          <w:sz w:val="24"/>
          <w:szCs w:val="24"/>
        </w:rPr>
        <w:t xml:space="preserve"> die Macht des </w:t>
      </w:r>
      <w:proofErr w:type="spellStart"/>
      <w:r w:rsidR="007B3F2E">
        <w:rPr>
          <w:rFonts w:cs="Times New Roman"/>
          <w:sz w:val="24"/>
          <w:szCs w:val="24"/>
        </w:rPr>
        <w:t>S</w:t>
      </w:r>
      <w:r w:rsidR="003D5A1C">
        <w:rPr>
          <w:rFonts w:cs="Times New Roman"/>
          <w:sz w:val="24"/>
          <w:szCs w:val="24"/>
        </w:rPr>
        <w:t>talinschen</w:t>
      </w:r>
      <w:proofErr w:type="spellEnd"/>
      <w:r w:rsidR="003D5A1C">
        <w:rPr>
          <w:rFonts w:cs="Times New Roman"/>
          <w:sz w:val="24"/>
          <w:szCs w:val="24"/>
        </w:rPr>
        <w:t xml:space="preserve"> Repressionsapparates stand, </w:t>
      </w:r>
      <w:r w:rsidR="00D97DF4">
        <w:rPr>
          <w:rFonts w:cs="Times New Roman"/>
          <w:sz w:val="24"/>
          <w:szCs w:val="24"/>
        </w:rPr>
        <w:t>und Lukács</w:t>
      </w:r>
      <w:r w:rsidR="009326BE">
        <w:rPr>
          <w:rFonts w:cs="Times New Roman"/>
          <w:sz w:val="24"/>
          <w:szCs w:val="24"/>
        </w:rPr>
        <w:t xml:space="preserve"> dazu </w:t>
      </w:r>
      <w:r w:rsidR="009B3024">
        <w:rPr>
          <w:rFonts w:cs="Times New Roman"/>
          <w:sz w:val="24"/>
          <w:szCs w:val="24"/>
        </w:rPr>
        <w:t xml:space="preserve">die geschichtsphilosophische Rechtfertigung lieferte, </w:t>
      </w:r>
      <w:r w:rsidR="003D4ADD">
        <w:rPr>
          <w:rFonts w:cs="Times New Roman"/>
          <w:sz w:val="24"/>
          <w:szCs w:val="24"/>
        </w:rPr>
        <w:t>kam man nicht</w:t>
      </w:r>
      <w:r w:rsidR="007E4E35" w:rsidRPr="00E2751C">
        <w:rPr>
          <w:rFonts w:cs="Times New Roman"/>
          <w:sz w:val="24"/>
          <w:szCs w:val="24"/>
        </w:rPr>
        <w:t xml:space="preserve">. </w:t>
      </w:r>
      <w:r w:rsidR="009474DE">
        <w:rPr>
          <w:rFonts w:cs="Times New Roman"/>
          <w:sz w:val="24"/>
          <w:szCs w:val="24"/>
        </w:rPr>
        <w:t>A</w:t>
      </w:r>
      <w:r w:rsidR="007E4E35" w:rsidRPr="00E2751C">
        <w:rPr>
          <w:rFonts w:cs="Times New Roman"/>
          <w:sz w:val="24"/>
          <w:szCs w:val="24"/>
        </w:rPr>
        <w:t xml:space="preserve">ber genau darum handelte es sich: Moskau wollte mit dieser Diskussion die Kader überprüfen und die Disziplin </w:t>
      </w:r>
      <w:r w:rsidR="007E4E35" w:rsidRPr="00E2751C">
        <w:rPr>
          <w:rFonts w:cs="Times New Roman"/>
          <w:sz w:val="24"/>
          <w:szCs w:val="24"/>
        </w:rPr>
        <w:lastRenderedPageBreak/>
        <w:t xml:space="preserve">verschärfen. Wer </w:t>
      </w:r>
      <w:r w:rsidR="008C4E9D">
        <w:rPr>
          <w:rFonts w:cs="Times New Roman"/>
          <w:sz w:val="24"/>
          <w:szCs w:val="24"/>
        </w:rPr>
        <w:t xml:space="preserve">auf den eingeschlagenen Kurs </w:t>
      </w:r>
      <w:r w:rsidR="007E4E35" w:rsidRPr="00E2751C">
        <w:rPr>
          <w:rFonts w:cs="Times New Roman"/>
          <w:sz w:val="24"/>
          <w:szCs w:val="24"/>
        </w:rPr>
        <w:t xml:space="preserve">nicht reagierte, sich </w:t>
      </w:r>
      <w:r w:rsidR="008C4E9D" w:rsidRPr="00E2751C">
        <w:rPr>
          <w:rFonts w:cs="Times New Roman"/>
          <w:sz w:val="24"/>
          <w:szCs w:val="24"/>
        </w:rPr>
        <w:t xml:space="preserve">nicht blind </w:t>
      </w:r>
      <w:r w:rsidR="007E4E35" w:rsidRPr="00E2751C">
        <w:rPr>
          <w:rFonts w:cs="Times New Roman"/>
          <w:sz w:val="24"/>
          <w:szCs w:val="24"/>
        </w:rPr>
        <w:t>der Autorität der Partei unterwarf, wurde diszipliniert</w:t>
      </w:r>
      <w:r w:rsidR="008850C8">
        <w:rPr>
          <w:rFonts w:cs="Times New Roman"/>
          <w:sz w:val="24"/>
          <w:szCs w:val="24"/>
        </w:rPr>
        <w:t>,</w:t>
      </w:r>
      <w:r w:rsidR="007E4E35" w:rsidRPr="00E2751C">
        <w:rPr>
          <w:rFonts w:cs="Times New Roman"/>
          <w:sz w:val="24"/>
          <w:szCs w:val="24"/>
        </w:rPr>
        <w:t xml:space="preserve"> </w:t>
      </w:r>
      <w:r w:rsidR="00276BE9" w:rsidRPr="00E2751C">
        <w:rPr>
          <w:rFonts w:cs="Times New Roman"/>
          <w:sz w:val="24"/>
          <w:szCs w:val="24"/>
        </w:rPr>
        <w:t>öffentlich angeprangert</w:t>
      </w:r>
      <w:r w:rsidR="00276BE9">
        <w:rPr>
          <w:rFonts w:cs="Times New Roman"/>
          <w:sz w:val="24"/>
          <w:szCs w:val="24"/>
        </w:rPr>
        <w:t xml:space="preserve"> und</w:t>
      </w:r>
      <w:r w:rsidR="00276BE9" w:rsidRPr="00E2751C">
        <w:rPr>
          <w:rFonts w:cs="Times New Roman"/>
          <w:sz w:val="24"/>
          <w:szCs w:val="24"/>
        </w:rPr>
        <w:t xml:space="preserve"> </w:t>
      </w:r>
      <w:r w:rsidR="007E4E35" w:rsidRPr="00E2751C">
        <w:rPr>
          <w:rFonts w:cs="Times New Roman"/>
          <w:sz w:val="24"/>
          <w:szCs w:val="24"/>
        </w:rPr>
        <w:t xml:space="preserve">als „Abweichler“ </w:t>
      </w:r>
      <w:r w:rsidR="008850C8">
        <w:rPr>
          <w:rFonts w:cs="Times New Roman"/>
          <w:sz w:val="24"/>
          <w:szCs w:val="24"/>
        </w:rPr>
        <w:t xml:space="preserve">aus der Partei </w:t>
      </w:r>
      <w:r w:rsidR="007E4E35" w:rsidRPr="00E2751C">
        <w:rPr>
          <w:rFonts w:cs="Times New Roman"/>
          <w:sz w:val="24"/>
          <w:szCs w:val="24"/>
        </w:rPr>
        <w:t xml:space="preserve">ausgeschlossen. Sofern </w:t>
      </w:r>
      <w:r w:rsidR="008850C8">
        <w:rPr>
          <w:rFonts w:cs="Times New Roman"/>
          <w:sz w:val="24"/>
          <w:szCs w:val="24"/>
        </w:rPr>
        <w:t>sich die Betroffenen</w:t>
      </w:r>
      <w:r w:rsidR="007E4E35" w:rsidRPr="00E2751C">
        <w:rPr>
          <w:rFonts w:cs="Times New Roman"/>
          <w:sz w:val="24"/>
          <w:szCs w:val="24"/>
        </w:rPr>
        <w:t xml:space="preserve"> in </w:t>
      </w:r>
      <w:r w:rsidR="00376783">
        <w:rPr>
          <w:rFonts w:cs="Times New Roman"/>
          <w:sz w:val="24"/>
          <w:szCs w:val="24"/>
        </w:rPr>
        <w:t>der Sowjetunion</w:t>
      </w:r>
      <w:r w:rsidR="007E4E35" w:rsidRPr="00E2751C">
        <w:rPr>
          <w:rFonts w:cs="Times New Roman"/>
          <w:sz w:val="24"/>
          <w:szCs w:val="24"/>
        </w:rPr>
        <w:t xml:space="preserve"> </w:t>
      </w:r>
      <w:r w:rsidR="008850C8">
        <w:rPr>
          <w:rFonts w:cs="Times New Roman"/>
          <w:sz w:val="24"/>
          <w:szCs w:val="24"/>
        </w:rPr>
        <w:t>aufhiel</w:t>
      </w:r>
      <w:r w:rsidR="007E4E35" w:rsidRPr="00E2751C">
        <w:rPr>
          <w:rFonts w:cs="Times New Roman"/>
          <w:sz w:val="24"/>
          <w:szCs w:val="24"/>
        </w:rPr>
        <w:t xml:space="preserve">ten, </w:t>
      </w:r>
      <w:r w:rsidR="006B7811">
        <w:rPr>
          <w:rFonts w:cs="Times New Roman"/>
          <w:sz w:val="24"/>
          <w:szCs w:val="24"/>
        </w:rPr>
        <w:t xml:space="preserve">gerieten sie </w:t>
      </w:r>
      <w:r w:rsidR="006335D8">
        <w:rPr>
          <w:rFonts w:cs="Times New Roman"/>
          <w:sz w:val="24"/>
          <w:szCs w:val="24"/>
        </w:rPr>
        <w:t xml:space="preserve">als Folge </w:t>
      </w:r>
      <w:r w:rsidR="008850C8">
        <w:rPr>
          <w:rFonts w:cs="Times New Roman"/>
          <w:sz w:val="24"/>
          <w:szCs w:val="24"/>
        </w:rPr>
        <w:t>fast zwangsläufig</w:t>
      </w:r>
      <w:r w:rsidR="006B7811">
        <w:rPr>
          <w:rFonts w:cs="Times New Roman"/>
          <w:sz w:val="24"/>
          <w:szCs w:val="24"/>
        </w:rPr>
        <w:t xml:space="preserve"> in die Maschinerie des Repressionsapparates. </w:t>
      </w:r>
    </w:p>
    <w:p w:rsidR="007E4E35" w:rsidRDefault="009B3024" w:rsidP="007E4E35">
      <w:pPr>
        <w:spacing w:after="0"/>
        <w:rPr>
          <w:rFonts w:cs="Times New Roman"/>
          <w:sz w:val="24"/>
          <w:szCs w:val="24"/>
        </w:rPr>
      </w:pPr>
      <w:r>
        <w:rPr>
          <w:rFonts w:cs="Times New Roman"/>
          <w:sz w:val="24"/>
          <w:szCs w:val="24"/>
        </w:rPr>
        <w:tab/>
      </w:r>
      <w:r w:rsidR="005141BB">
        <w:rPr>
          <w:rFonts w:cs="Times New Roman"/>
          <w:sz w:val="24"/>
          <w:szCs w:val="24"/>
        </w:rPr>
        <w:t>D</w:t>
      </w:r>
      <w:r w:rsidR="007E4E35" w:rsidRPr="00E2751C">
        <w:rPr>
          <w:rFonts w:cs="Times New Roman"/>
          <w:sz w:val="24"/>
          <w:szCs w:val="24"/>
        </w:rPr>
        <w:t xml:space="preserve">ie „Abweichung“ war </w:t>
      </w:r>
      <w:r w:rsidR="00376783">
        <w:rPr>
          <w:rFonts w:cs="Times New Roman"/>
          <w:sz w:val="24"/>
          <w:szCs w:val="24"/>
        </w:rPr>
        <w:t xml:space="preserve">nur </w:t>
      </w:r>
      <w:r w:rsidR="007E4E35" w:rsidRPr="00E2751C">
        <w:rPr>
          <w:rFonts w:cs="Times New Roman"/>
          <w:sz w:val="24"/>
          <w:szCs w:val="24"/>
        </w:rPr>
        <w:t xml:space="preserve">der </w:t>
      </w:r>
      <w:r>
        <w:rPr>
          <w:rFonts w:cs="Times New Roman"/>
          <w:i/>
          <w:sz w:val="24"/>
          <w:szCs w:val="24"/>
        </w:rPr>
        <w:t>Vorwand</w:t>
      </w:r>
      <w:r w:rsidR="007E4E35" w:rsidRPr="00E2751C">
        <w:rPr>
          <w:rFonts w:cs="Times New Roman"/>
          <w:sz w:val="24"/>
          <w:szCs w:val="24"/>
        </w:rPr>
        <w:t xml:space="preserve">, nicht </w:t>
      </w:r>
      <w:r w:rsidR="008850C8" w:rsidRPr="00E2751C">
        <w:rPr>
          <w:rFonts w:cs="Times New Roman"/>
          <w:sz w:val="24"/>
          <w:szCs w:val="24"/>
        </w:rPr>
        <w:t xml:space="preserve">aber </w:t>
      </w:r>
      <w:r w:rsidR="007E4E35" w:rsidRPr="00E2751C">
        <w:rPr>
          <w:rFonts w:cs="Times New Roman"/>
          <w:sz w:val="24"/>
          <w:szCs w:val="24"/>
        </w:rPr>
        <w:t xml:space="preserve">der </w:t>
      </w:r>
      <w:r w:rsidR="007E4E35" w:rsidRPr="00376783">
        <w:rPr>
          <w:rFonts w:cs="Times New Roman"/>
          <w:i/>
          <w:sz w:val="24"/>
          <w:szCs w:val="24"/>
        </w:rPr>
        <w:t>Grund</w:t>
      </w:r>
      <w:r w:rsidR="007E4E35" w:rsidRPr="00E2751C">
        <w:rPr>
          <w:rFonts w:cs="Times New Roman"/>
          <w:sz w:val="24"/>
          <w:szCs w:val="24"/>
        </w:rPr>
        <w:t xml:space="preserve"> de</w:t>
      </w:r>
      <w:r w:rsidR="006B7811">
        <w:rPr>
          <w:rFonts w:cs="Times New Roman"/>
          <w:sz w:val="24"/>
          <w:szCs w:val="24"/>
        </w:rPr>
        <w:t>r</w:t>
      </w:r>
      <w:r w:rsidR="007E4E35" w:rsidRPr="00E2751C">
        <w:rPr>
          <w:rFonts w:cs="Times New Roman"/>
          <w:sz w:val="24"/>
          <w:szCs w:val="24"/>
        </w:rPr>
        <w:t xml:space="preserve"> Verhaftungen. Eines </w:t>
      </w:r>
      <w:r w:rsidR="008850C8">
        <w:rPr>
          <w:rFonts w:cs="Times New Roman"/>
          <w:sz w:val="24"/>
          <w:szCs w:val="24"/>
        </w:rPr>
        <w:t>stichhaltig</w:t>
      </w:r>
      <w:r w:rsidR="007E4E35" w:rsidRPr="00E2751C">
        <w:rPr>
          <w:rFonts w:cs="Times New Roman"/>
          <w:sz w:val="24"/>
          <w:szCs w:val="24"/>
        </w:rPr>
        <w:t xml:space="preserve">en Grundes bedurfte es nicht, um </w:t>
      </w:r>
      <w:r w:rsidR="00C314FD">
        <w:rPr>
          <w:rFonts w:cs="Times New Roman"/>
          <w:sz w:val="24"/>
          <w:szCs w:val="24"/>
        </w:rPr>
        <w:t>ins Blickfeld der Verfolgungsorgane zu geraten</w:t>
      </w:r>
      <w:r w:rsidR="007E4E35" w:rsidRPr="00E2751C">
        <w:rPr>
          <w:rFonts w:cs="Times New Roman"/>
          <w:sz w:val="24"/>
          <w:szCs w:val="24"/>
        </w:rPr>
        <w:t xml:space="preserve">. </w:t>
      </w:r>
      <w:r w:rsidR="00C314FD">
        <w:rPr>
          <w:rFonts w:cs="Times New Roman"/>
          <w:sz w:val="24"/>
          <w:szCs w:val="24"/>
        </w:rPr>
        <w:t>D</w:t>
      </w:r>
      <w:r w:rsidR="008850C8">
        <w:rPr>
          <w:rFonts w:cs="Times New Roman"/>
          <w:sz w:val="24"/>
          <w:szCs w:val="24"/>
        </w:rPr>
        <w:t xml:space="preserve">ie Repression baute auf </w:t>
      </w:r>
      <w:r w:rsidR="009558EC" w:rsidRPr="009558EC">
        <w:rPr>
          <w:rFonts w:cs="Times New Roman"/>
          <w:i/>
          <w:sz w:val="24"/>
          <w:szCs w:val="24"/>
        </w:rPr>
        <w:t>Willkür und Terror</w:t>
      </w:r>
      <w:r w:rsidR="009558EC">
        <w:rPr>
          <w:rFonts w:cs="Times New Roman"/>
          <w:sz w:val="24"/>
          <w:szCs w:val="24"/>
        </w:rPr>
        <w:t xml:space="preserve"> auf, auf der </w:t>
      </w:r>
      <w:proofErr w:type="spellStart"/>
      <w:r>
        <w:rPr>
          <w:rFonts w:cs="Times New Roman"/>
          <w:sz w:val="24"/>
          <w:szCs w:val="24"/>
        </w:rPr>
        <w:t>Unkalkulierbarkeit</w:t>
      </w:r>
      <w:proofErr w:type="spellEnd"/>
      <w:r w:rsidR="008850C8">
        <w:rPr>
          <w:rFonts w:cs="Times New Roman"/>
          <w:sz w:val="24"/>
          <w:szCs w:val="24"/>
        </w:rPr>
        <w:t xml:space="preserve"> </w:t>
      </w:r>
      <w:r w:rsidR="009558EC">
        <w:rPr>
          <w:rFonts w:cs="Times New Roman"/>
          <w:sz w:val="24"/>
          <w:szCs w:val="24"/>
        </w:rPr>
        <w:t>des Vorgangs</w:t>
      </w:r>
      <w:r w:rsidR="008850C8">
        <w:rPr>
          <w:rFonts w:cs="Times New Roman"/>
          <w:sz w:val="24"/>
          <w:szCs w:val="24"/>
        </w:rPr>
        <w:t xml:space="preserve">. </w:t>
      </w:r>
      <w:r w:rsidR="009558EC">
        <w:rPr>
          <w:rFonts w:cs="Times New Roman"/>
          <w:sz w:val="24"/>
          <w:szCs w:val="24"/>
        </w:rPr>
        <w:t>Sein</w:t>
      </w:r>
      <w:r w:rsidR="007B3F2E">
        <w:rPr>
          <w:rFonts w:cs="Times New Roman"/>
          <w:sz w:val="24"/>
          <w:szCs w:val="24"/>
        </w:rPr>
        <w:t xml:space="preserve"> </w:t>
      </w:r>
      <w:r w:rsidR="00C314FD">
        <w:rPr>
          <w:rFonts w:cs="Times New Roman"/>
          <w:sz w:val="24"/>
          <w:szCs w:val="24"/>
        </w:rPr>
        <w:t xml:space="preserve">Ziel war es, das </w:t>
      </w:r>
      <w:r w:rsidR="007B3F2E" w:rsidRPr="006B7811">
        <w:rPr>
          <w:rFonts w:cs="Times New Roman"/>
          <w:sz w:val="24"/>
          <w:szCs w:val="24"/>
        </w:rPr>
        <w:t xml:space="preserve">Selbstgefühl </w:t>
      </w:r>
      <w:r w:rsidR="007B3F2E" w:rsidRPr="005F79D1">
        <w:rPr>
          <w:rFonts w:cs="Times New Roman"/>
          <w:sz w:val="24"/>
          <w:szCs w:val="24"/>
        </w:rPr>
        <w:t xml:space="preserve">der </w:t>
      </w:r>
      <w:r w:rsidR="0065655C" w:rsidRPr="005F79D1">
        <w:rPr>
          <w:rFonts w:cs="Times New Roman"/>
          <w:sz w:val="24"/>
          <w:szCs w:val="24"/>
        </w:rPr>
        <w:t>„</w:t>
      </w:r>
      <w:proofErr w:type="spellStart"/>
      <w:r w:rsidR="007B3F2E" w:rsidRPr="005F79D1">
        <w:rPr>
          <w:rFonts w:cs="Times New Roman"/>
          <w:sz w:val="24"/>
          <w:szCs w:val="24"/>
        </w:rPr>
        <w:t>Intelligen</w:t>
      </w:r>
      <w:r w:rsidR="0065655C" w:rsidRPr="005F79D1">
        <w:rPr>
          <w:rFonts w:cs="Times New Roman"/>
          <w:sz w:val="24"/>
          <w:szCs w:val="24"/>
        </w:rPr>
        <w:t>tsia</w:t>
      </w:r>
      <w:proofErr w:type="spellEnd"/>
      <w:r w:rsidR="0065655C" w:rsidRPr="005F79D1">
        <w:rPr>
          <w:rFonts w:cs="Times New Roman"/>
          <w:sz w:val="24"/>
          <w:szCs w:val="24"/>
        </w:rPr>
        <w:t>“</w:t>
      </w:r>
      <w:r w:rsidR="00376783" w:rsidRPr="005F79D1">
        <w:rPr>
          <w:rFonts w:cs="Times New Roman"/>
          <w:sz w:val="24"/>
          <w:szCs w:val="24"/>
        </w:rPr>
        <w:t xml:space="preserve"> </w:t>
      </w:r>
      <w:r w:rsidR="00C314FD" w:rsidRPr="005F79D1">
        <w:rPr>
          <w:rFonts w:cs="Times New Roman"/>
          <w:sz w:val="24"/>
          <w:szCs w:val="24"/>
        </w:rPr>
        <w:t>zu brechen</w:t>
      </w:r>
      <w:r w:rsidR="00376783">
        <w:rPr>
          <w:rFonts w:cs="Times New Roman"/>
          <w:sz w:val="24"/>
          <w:szCs w:val="24"/>
        </w:rPr>
        <w:t>.</w:t>
      </w:r>
      <w:r w:rsidR="00C314FD">
        <w:rPr>
          <w:rFonts w:cs="Times New Roman"/>
          <w:sz w:val="24"/>
          <w:szCs w:val="24"/>
        </w:rPr>
        <w:t xml:space="preserve"> </w:t>
      </w:r>
      <w:r w:rsidR="005141BB" w:rsidRPr="005141BB">
        <w:rPr>
          <w:rFonts w:cs="Times New Roman"/>
          <w:sz w:val="24"/>
          <w:szCs w:val="24"/>
        </w:rPr>
        <w:t>Der</w:t>
      </w:r>
      <w:r w:rsidR="005141BB">
        <w:rPr>
          <w:rFonts w:cs="Times New Roman"/>
          <w:sz w:val="24"/>
          <w:szCs w:val="24"/>
        </w:rPr>
        <w:t xml:space="preserve"> traditionelle</w:t>
      </w:r>
      <w:r w:rsidR="005141BB" w:rsidRPr="00C314FD">
        <w:rPr>
          <w:rFonts w:cs="Times New Roman"/>
          <w:i/>
          <w:sz w:val="24"/>
          <w:szCs w:val="24"/>
        </w:rPr>
        <w:t xml:space="preserve"> </w:t>
      </w:r>
      <w:r w:rsidR="005141BB" w:rsidRPr="009B3024">
        <w:rPr>
          <w:rFonts w:cs="Times New Roman"/>
          <w:sz w:val="24"/>
          <w:szCs w:val="24"/>
        </w:rPr>
        <w:t>Nonkonformismus</w:t>
      </w:r>
      <w:r w:rsidR="005141BB">
        <w:rPr>
          <w:rFonts w:cs="Times New Roman"/>
          <w:sz w:val="24"/>
          <w:szCs w:val="24"/>
        </w:rPr>
        <w:t xml:space="preserve"> </w:t>
      </w:r>
      <w:r w:rsidR="005141BB" w:rsidRPr="005141BB">
        <w:rPr>
          <w:rFonts w:cs="Times New Roman"/>
          <w:sz w:val="24"/>
          <w:szCs w:val="24"/>
        </w:rPr>
        <w:t>der Gruppe</w:t>
      </w:r>
      <w:r w:rsidR="005141BB">
        <w:rPr>
          <w:rFonts w:cs="Times New Roman"/>
          <w:i/>
          <w:sz w:val="24"/>
          <w:szCs w:val="24"/>
        </w:rPr>
        <w:t>,</w:t>
      </w:r>
      <w:r w:rsidR="005141BB">
        <w:rPr>
          <w:rFonts w:cs="Times New Roman"/>
          <w:sz w:val="24"/>
          <w:szCs w:val="24"/>
        </w:rPr>
        <w:t xml:space="preserve"> ihre </w:t>
      </w:r>
      <w:r w:rsidR="007B3F2E">
        <w:rPr>
          <w:rFonts w:cs="Times New Roman"/>
          <w:sz w:val="24"/>
          <w:szCs w:val="24"/>
        </w:rPr>
        <w:t>Eigenständigkeit und Unabhängigkeit</w:t>
      </w:r>
      <w:r w:rsidR="009558EC">
        <w:rPr>
          <w:rFonts w:cs="Times New Roman"/>
          <w:sz w:val="24"/>
          <w:szCs w:val="24"/>
        </w:rPr>
        <w:t>,</w:t>
      </w:r>
      <w:r w:rsidR="00C314FD">
        <w:rPr>
          <w:rFonts w:cs="Times New Roman"/>
          <w:sz w:val="24"/>
          <w:szCs w:val="24"/>
        </w:rPr>
        <w:t xml:space="preserve"> pa</w:t>
      </w:r>
      <w:r w:rsidR="009A417A">
        <w:rPr>
          <w:rFonts w:cs="Times New Roman"/>
          <w:sz w:val="24"/>
          <w:szCs w:val="24"/>
        </w:rPr>
        <w:t>ss</w:t>
      </w:r>
      <w:r w:rsidR="00C314FD">
        <w:rPr>
          <w:rFonts w:cs="Times New Roman"/>
          <w:sz w:val="24"/>
          <w:szCs w:val="24"/>
        </w:rPr>
        <w:t xml:space="preserve">te nicht in </w:t>
      </w:r>
      <w:r w:rsidR="009A417A">
        <w:rPr>
          <w:rFonts w:cs="Times New Roman"/>
          <w:sz w:val="24"/>
          <w:szCs w:val="24"/>
        </w:rPr>
        <w:t xml:space="preserve">das Machtsystem </w:t>
      </w:r>
      <w:r w:rsidR="00C314FD">
        <w:rPr>
          <w:rFonts w:cs="Times New Roman"/>
          <w:sz w:val="24"/>
          <w:szCs w:val="24"/>
        </w:rPr>
        <w:t>de</w:t>
      </w:r>
      <w:r w:rsidR="009A417A">
        <w:rPr>
          <w:rFonts w:cs="Times New Roman"/>
          <w:sz w:val="24"/>
          <w:szCs w:val="24"/>
        </w:rPr>
        <w:t>s</w:t>
      </w:r>
      <w:r w:rsidR="00C314FD">
        <w:rPr>
          <w:rFonts w:cs="Times New Roman"/>
          <w:sz w:val="24"/>
          <w:szCs w:val="24"/>
        </w:rPr>
        <w:t xml:space="preserve"> Sowjetstaat</w:t>
      </w:r>
      <w:r w:rsidR="009A417A">
        <w:rPr>
          <w:rFonts w:cs="Times New Roman"/>
          <w:sz w:val="24"/>
          <w:szCs w:val="24"/>
        </w:rPr>
        <w:t>s</w:t>
      </w:r>
      <w:r w:rsidR="000A6EF5">
        <w:rPr>
          <w:rFonts w:cs="Times New Roman"/>
          <w:sz w:val="24"/>
          <w:szCs w:val="24"/>
        </w:rPr>
        <w:t xml:space="preserve">. </w:t>
      </w:r>
      <w:r w:rsidR="006335D8">
        <w:rPr>
          <w:rFonts w:cs="Times New Roman"/>
          <w:sz w:val="24"/>
          <w:szCs w:val="24"/>
        </w:rPr>
        <w:t xml:space="preserve">Er bedrohte den Anspruch der Partei, stets und immer die „richtige Linie“ zu vertreten. </w:t>
      </w:r>
      <w:r w:rsidR="0003778B">
        <w:rPr>
          <w:rFonts w:cs="Times New Roman"/>
          <w:sz w:val="24"/>
          <w:szCs w:val="24"/>
        </w:rPr>
        <w:t>E</w:t>
      </w:r>
      <w:r w:rsidR="0003778B" w:rsidRPr="00E2751C">
        <w:rPr>
          <w:rFonts w:cs="Times New Roman"/>
          <w:sz w:val="24"/>
          <w:szCs w:val="24"/>
        </w:rPr>
        <w:t xml:space="preserve">in </w:t>
      </w:r>
      <w:r w:rsidR="0003778B">
        <w:rPr>
          <w:rFonts w:cs="Times New Roman"/>
          <w:sz w:val="24"/>
          <w:szCs w:val="24"/>
        </w:rPr>
        <w:t>nahezu beliebiger Sachverhalt</w:t>
      </w:r>
      <w:r w:rsidR="0003778B" w:rsidRPr="00E2751C">
        <w:rPr>
          <w:rFonts w:cs="Times New Roman"/>
          <w:sz w:val="24"/>
          <w:szCs w:val="24"/>
        </w:rPr>
        <w:t xml:space="preserve"> </w:t>
      </w:r>
      <w:r w:rsidR="007E4E35" w:rsidRPr="00E2751C">
        <w:rPr>
          <w:rFonts w:cs="Times New Roman"/>
          <w:sz w:val="24"/>
          <w:szCs w:val="24"/>
        </w:rPr>
        <w:t xml:space="preserve">genügte </w:t>
      </w:r>
      <w:r w:rsidR="005141BB">
        <w:rPr>
          <w:rFonts w:cs="Times New Roman"/>
          <w:sz w:val="24"/>
          <w:szCs w:val="24"/>
        </w:rPr>
        <w:t>daher</w:t>
      </w:r>
      <w:r w:rsidR="009A417A">
        <w:rPr>
          <w:rFonts w:cs="Times New Roman"/>
          <w:sz w:val="24"/>
          <w:szCs w:val="24"/>
        </w:rPr>
        <w:t xml:space="preserve">, </w:t>
      </w:r>
      <w:r w:rsidR="009558EC">
        <w:rPr>
          <w:rFonts w:cs="Times New Roman"/>
          <w:sz w:val="24"/>
          <w:szCs w:val="24"/>
        </w:rPr>
        <w:t xml:space="preserve">damit die Betroffenen </w:t>
      </w:r>
      <w:r w:rsidR="005141BB">
        <w:rPr>
          <w:rFonts w:cs="Times New Roman"/>
          <w:sz w:val="24"/>
          <w:szCs w:val="24"/>
        </w:rPr>
        <w:t>als</w:t>
      </w:r>
      <w:r w:rsidR="000A6EF5">
        <w:rPr>
          <w:rFonts w:cs="Times New Roman"/>
          <w:sz w:val="24"/>
          <w:szCs w:val="24"/>
        </w:rPr>
        <w:t xml:space="preserve"> „Volksfeinde“ im Gula</w:t>
      </w:r>
      <w:r w:rsidR="00C314FD">
        <w:rPr>
          <w:rFonts w:cs="Times New Roman"/>
          <w:sz w:val="24"/>
          <w:szCs w:val="24"/>
        </w:rPr>
        <w:t>g</w:t>
      </w:r>
      <w:r w:rsidR="000A6EF5">
        <w:rPr>
          <w:rFonts w:cs="Times New Roman"/>
          <w:sz w:val="24"/>
          <w:szCs w:val="24"/>
        </w:rPr>
        <w:t xml:space="preserve"> verschw</w:t>
      </w:r>
      <w:r w:rsidR="009558EC">
        <w:rPr>
          <w:rFonts w:cs="Times New Roman"/>
          <w:sz w:val="24"/>
          <w:szCs w:val="24"/>
        </w:rPr>
        <w:t>a</w:t>
      </w:r>
      <w:r w:rsidR="000A6EF5">
        <w:rPr>
          <w:rFonts w:cs="Times New Roman"/>
          <w:sz w:val="24"/>
          <w:szCs w:val="24"/>
        </w:rPr>
        <w:t>nden</w:t>
      </w:r>
      <w:r w:rsidR="007E4E35" w:rsidRPr="00E2751C">
        <w:rPr>
          <w:rFonts w:cs="Times New Roman"/>
          <w:sz w:val="24"/>
          <w:szCs w:val="24"/>
        </w:rPr>
        <w:t>.</w:t>
      </w:r>
      <w:r w:rsidR="009A417A">
        <w:rPr>
          <w:rStyle w:val="Funotenzeichen"/>
          <w:rFonts w:cs="Times New Roman"/>
          <w:sz w:val="24"/>
          <w:szCs w:val="24"/>
        </w:rPr>
        <w:footnoteReference w:id="1"/>
      </w:r>
      <w:r w:rsidR="007E4E35" w:rsidRPr="00E2751C">
        <w:rPr>
          <w:rFonts w:cs="Times New Roman"/>
          <w:sz w:val="24"/>
          <w:szCs w:val="24"/>
        </w:rPr>
        <w:t xml:space="preserve"> </w:t>
      </w:r>
      <w:r w:rsidR="009558EC">
        <w:rPr>
          <w:rFonts w:cs="Times New Roman"/>
          <w:sz w:val="24"/>
          <w:szCs w:val="24"/>
        </w:rPr>
        <w:t>Die Etikettierungen der angeblichen „Verbrecher“ waren beliebig. Mal handelte es sich um „Trotzkisten“, mal um „faschistischen Agenten“. „Verräter“ bzw. „Diversanten“</w:t>
      </w:r>
      <w:r w:rsidR="006335D8">
        <w:rPr>
          <w:rFonts w:cs="Times New Roman"/>
          <w:sz w:val="24"/>
          <w:szCs w:val="24"/>
        </w:rPr>
        <w:t xml:space="preserve"> waren sie alle.</w:t>
      </w:r>
      <w:r w:rsidR="009558EC">
        <w:rPr>
          <w:rFonts w:cs="Times New Roman"/>
          <w:sz w:val="24"/>
          <w:szCs w:val="24"/>
        </w:rPr>
        <w:t xml:space="preserve"> </w:t>
      </w:r>
      <w:r w:rsidR="000A6EF5">
        <w:rPr>
          <w:rFonts w:cs="Times New Roman"/>
          <w:sz w:val="24"/>
          <w:szCs w:val="24"/>
        </w:rPr>
        <w:t>Der Repressionsapparat operierte mit Denunziationen und e</w:t>
      </w:r>
      <w:r w:rsidR="007E4E35" w:rsidRPr="00E2751C">
        <w:rPr>
          <w:rFonts w:cs="Times New Roman"/>
          <w:sz w:val="24"/>
          <w:szCs w:val="24"/>
        </w:rPr>
        <w:t>rpre</w:t>
      </w:r>
      <w:r w:rsidR="007E4E35">
        <w:rPr>
          <w:rFonts w:cs="Times New Roman"/>
          <w:sz w:val="24"/>
          <w:szCs w:val="24"/>
        </w:rPr>
        <w:t>ss</w:t>
      </w:r>
      <w:r w:rsidR="007E4E35" w:rsidRPr="00E2751C">
        <w:rPr>
          <w:rFonts w:cs="Times New Roman"/>
          <w:sz w:val="24"/>
          <w:szCs w:val="24"/>
        </w:rPr>
        <w:t>te</w:t>
      </w:r>
      <w:r w:rsidR="000A6EF5">
        <w:rPr>
          <w:rFonts w:cs="Times New Roman"/>
          <w:sz w:val="24"/>
          <w:szCs w:val="24"/>
        </w:rPr>
        <w:t>n</w:t>
      </w:r>
      <w:r w:rsidR="007E4E35" w:rsidRPr="00E2751C">
        <w:rPr>
          <w:rFonts w:cs="Times New Roman"/>
          <w:sz w:val="24"/>
          <w:szCs w:val="24"/>
        </w:rPr>
        <w:t xml:space="preserve"> Geständnisse</w:t>
      </w:r>
      <w:r w:rsidR="00C9106B">
        <w:rPr>
          <w:rFonts w:cs="Times New Roman"/>
          <w:sz w:val="24"/>
          <w:szCs w:val="24"/>
        </w:rPr>
        <w:t>n</w:t>
      </w:r>
      <w:r w:rsidR="000A6EF5">
        <w:rPr>
          <w:rFonts w:cs="Times New Roman"/>
          <w:sz w:val="24"/>
          <w:szCs w:val="24"/>
        </w:rPr>
        <w:t xml:space="preserve">. </w:t>
      </w:r>
      <w:r w:rsidR="005141BB">
        <w:rPr>
          <w:rFonts w:cs="Times New Roman"/>
          <w:sz w:val="24"/>
          <w:szCs w:val="24"/>
        </w:rPr>
        <w:t>Willfährige Denunzianten gab es genug. Angesichts der vorgeblichen Gefahr</w:t>
      </w:r>
      <w:r w:rsidR="006B7811">
        <w:rPr>
          <w:rFonts w:cs="Times New Roman"/>
          <w:sz w:val="24"/>
          <w:szCs w:val="24"/>
        </w:rPr>
        <w:t>en</w:t>
      </w:r>
      <w:r w:rsidR="005141BB">
        <w:rPr>
          <w:rFonts w:cs="Times New Roman"/>
          <w:sz w:val="24"/>
          <w:szCs w:val="24"/>
        </w:rPr>
        <w:t xml:space="preserve">, </w:t>
      </w:r>
      <w:r w:rsidR="006B7811">
        <w:rPr>
          <w:rFonts w:cs="Times New Roman"/>
          <w:sz w:val="24"/>
          <w:szCs w:val="24"/>
        </w:rPr>
        <w:t>die</w:t>
      </w:r>
      <w:r w:rsidR="005141BB">
        <w:rPr>
          <w:rFonts w:cs="Times New Roman"/>
          <w:sz w:val="24"/>
          <w:szCs w:val="24"/>
        </w:rPr>
        <w:t xml:space="preserve"> der Sowjetunion aufgrund der Aktivität </w:t>
      </w:r>
      <w:r w:rsidR="006335D8">
        <w:rPr>
          <w:rFonts w:cs="Times New Roman"/>
          <w:sz w:val="24"/>
          <w:szCs w:val="24"/>
        </w:rPr>
        <w:t>der „Verräter“</w:t>
      </w:r>
      <w:r w:rsidR="005141BB">
        <w:rPr>
          <w:rFonts w:cs="Times New Roman"/>
          <w:sz w:val="24"/>
          <w:szCs w:val="24"/>
        </w:rPr>
        <w:t xml:space="preserve"> </w:t>
      </w:r>
      <w:r w:rsidR="006B7811">
        <w:rPr>
          <w:rFonts w:cs="Times New Roman"/>
          <w:sz w:val="24"/>
          <w:szCs w:val="24"/>
        </w:rPr>
        <w:t>drohten</w:t>
      </w:r>
      <w:r w:rsidR="005141BB">
        <w:rPr>
          <w:rFonts w:cs="Times New Roman"/>
          <w:sz w:val="24"/>
          <w:szCs w:val="24"/>
        </w:rPr>
        <w:t xml:space="preserve">, galt die </w:t>
      </w:r>
      <w:r w:rsidR="000A6EF5">
        <w:rPr>
          <w:rFonts w:cs="Times New Roman"/>
          <w:sz w:val="24"/>
          <w:szCs w:val="24"/>
        </w:rPr>
        <w:t xml:space="preserve">Denunziation </w:t>
      </w:r>
      <w:r w:rsidR="00EF3EBB">
        <w:rPr>
          <w:rFonts w:cs="Times New Roman"/>
          <w:sz w:val="24"/>
          <w:szCs w:val="24"/>
        </w:rPr>
        <w:t>als Beweis von „</w:t>
      </w:r>
      <w:proofErr w:type="gramStart"/>
      <w:r w:rsidR="00EF3EBB">
        <w:rPr>
          <w:rFonts w:cs="Times New Roman"/>
          <w:sz w:val="24"/>
          <w:szCs w:val="24"/>
        </w:rPr>
        <w:t>Linientreue</w:t>
      </w:r>
      <w:proofErr w:type="gramEnd"/>
      <w:r w:rsidR="00EF3EBB">
        <w:rPr>
          <w:rFonts w:cs="Times New Roman"/>
          <w:sz w:val="24"/>
          <w:szCs w:val="24"/>
        </w:rPr>
        <w:t>“</w:t>
      </w:r>
      <w:r w:rsidR="005141BB">
        <w:rPr>
          <w:rFonts w:cs="Times New Roman"/>
          <w:sz w:val="24"/>
          <w:szCs w:val="24"/>
        </w:rPr>
        <w:t xml:space="preserve"> und</w:t>
      </w:r>
      <w:r w:rsidR="000A6EF5">
        <w:rPr>
          <w:rFonts w:cs="Times New Roman"/>
          <w:sz w:val="24"/>
          <w:szCs w:val="24"/>
        </w:rPr>
        <w:t xml:space="preserve"> parteigerechte</w:t>
      </w:r>
      <w:r w:rsidR="00C9106B">
        <w:rPr>
          <w:rFonts w:cs="Times New Roman"/>
          <w:sz w:val="24"/>
          <w:szCs w:val="24"/>
        </w:rPr>
        <w:t>m</w:t>
      </w:r>
      <w:r w:rsidR="000A6EF5">
        <w:rPr>
          <w:rFonts w:cs="Times New Roman"/>
          <w:sz w:val="24"/>
          <w:szCs w:val="24"/>
        </w:rPr>
        <w:t xml:space="preserve"> Verhalten.</w:t>
      </w:r>
      <w:r w:rsidR="00EF3EBB">
        <w:rPr>
          <w:rStyle w:val="Funotenzeichen"/>
          <w:rFonts w:cs="Times New Roman"/>
          <w:sz w:val="24"/>
          <w:szCs w:val="24"/>
        </w:rPr>
        <w:footnoteReference w:id="2"/>
      </w:r>
      <w:r w:rsidR="007E4E35" w:rsidRPr="00E2751C">
        <w:rPr>
          <w:rFonts w:cs="Times New Roman"/>
          <w:sz w:val="24"/>
          <w:szCs w:val="24"/>
        </w:rPr>
        <w:t xml:space="preserve"> </w:t>
      </w:r>
      <w:r w:rsidR="006335D8">
        <w:rPr>
          <w:rFonts w:cs="Times New Roman"/>
          <w:sz w:val="24"/>
          <w:szCs w:val="24"/>
        </w:rPr>
        <w:t>Völlig absurde Beschuldigungen reichten aus, um die Verurteilungen</w:t>
      </w:r>
      <w:r w:rsidR="005141BB">
        <w:rPr>
          <w:rFonts w:cs="Times New Roman"/>
          <w:sz w:val="24"/>
          <w:szCs w:val="24"/>
        </w:rPr>
        <w:t xml:space="preserve"> </w:t>
      </w:r>
      <w:r w:rsidR="007E4E35" w:rsidRPr="00E2751C">
        <w:rPr>
          <w:rFonts w:cs="Times New Roman"/>
          <w:sz w:val="24"/>
          <w:szCs w:val="24"/>
        </w:rPr>
        <w:t>auf eine rechtlich „einwandfreie“ Basis zu stellen.</w:t>
      </w:r>
    </w:p>
    <w:p w:rsidR="005141BB" w:rsidRDefault="005141BB" w:rsidP="007E4E35">
      <w:pPr>
        <w:spacing w:after="0"/>
        <w:rPr>
          <w:rFonts w:cs="Times New Roman"/>
          <w:sz w:val="24"/>
          <w:szCs w:val="24"/>
        </w:rPr>
      </w:pPr>
    </w:p>
    <w:p w:rsidR="005141BB" w:rsidRPr="00094293" w:rsidRDefault="005141BB" w:rsidP="005141BB">
      <w:pPr>
        <w:spacing w:after="0"/>
        <w:rPr>
          <w:rFonts w:cs="Times New Roman"/>
          <w:b/>
          <w:sz w:val="24"/>
          <w:szCs w:val="24"/>
        </w:rPr>
      </w:pPr>
      <w:r w:rsidRPr="00094293">
        <w:rPr>
          <w:b/>
          <w:sz w:val="24"/>
          <w:szCs w:val="24"/>
        </w:rPr>
        <w:t>„Aber die Freude am Erbvorgang wird einem nicht immer ungetrübt gelassen.“</w:t>
      </w:r>
    </w:p>
    <w:p w:rsidR="0003778B" w:rsidRDefault="006335D8" w:rsidP="007E4E35">
      <w:pPr>
        <w:spacing w:after="0"/>
        <w:rPr>
          <w:rFonts w:cs="Times New Roman"/>
          <w:sz w:val="24"/>
          <w:szCs w:val="24"/>
        </w:rPr>
      </w:pPr>
      <w:r>
        <w:rPr>
          <w:rFonts w:cs="Times New Roman"/>
          <w:sz w:val="24"/>
          <w:szCs w:val="24"/>
        </w:rPr>
        <w:t>D</w:t>
      </w:r>
      <w:r w:rsidR="001D4349">
        <w:rPr>
          <w:rFonts w:cs="Times New Roman"/>
          <w:sz w:val="24"/>
          <w:szCs w:val="24"/>
        </w:rPr>
        <w:t xml:space="preserve">ie Absurdität </w:t>
      </w:r>
      <w:r w:rsidR="00965C18">
        <w:rPr>
          <w:rFonts w:cs="Times New Roman"/>
          <w:sz w:val="24"/>
          <w:szCs w:val="24"/>
        </w:rPr>
        <w:t xml:space="preserve">der </w:t>
      </w:r>
      <w:r w:rsidR="00BD60C6">
        <w:rPr>
          <w:rFonts w:cs="Times New Roman"/>
          <w:sz w:val="24"/>
          <w:szCs w:val="24"/>
        </w:rPr>
        <w:t>Vorwürfe</w:t>
      </w:r>
      <w:r w:rsidR="001D4349">
        <w:rPr>
          <w:rFonts w:cs="Times New Roman"/>
          <w:sz w:val="24"/>
          <w:szCs w:val="24"/>
        </w:rPr>
        <w:t>, die in der Expressionismus-Debatte erhoben w</w:t>
      </w:r>
      <w:r w:rsidR="007F150F">
        <w:rPr>
          <w:rFonts w:cs="Times New Roman"/>
          <w:sz w:val="24"/>
          <w:szCs w:val="24"/>
        </w:rPr>
        <w:t>o</w:t>
      </w:r>
      <w:r w:rsidR="001D4349">
        <w:rPr>
          <w:rFonts w:cs="Times New Roman"/>
          <w:sz w:val="24"/>
          <w:szCs w:val="24"/>
        </w:rPr>
        <w:t>rden</w:t>
      </w:r>
      <w:r w:rsidR="007F150F">
        <w:rPr>
          <w:rFonts w:cs="Times New Roman"/>
          <w:sz w:val="24"/>
          <w:szCs w:val="24"/>
        </w:rPr>
        <w:t xml:space="preserve"> waren</w:t>
      </w:r>
      <w:r w:rsidR="001D4349">
        <w:rPr>
          <w:rFonts w:cs="Times New Roman"/>
          <w:sz w:val="24"/>
          <w:szCs w:val="24"/>
        </w:rPr>
        <w:t>,</w:t>
      </w:r>
      <w:r w:rsidR="00BD60C6">
        <w:rPr>
          <w:rFonts w:cs="Times New Roman"/>
          <w:sz w:val="24"/>
          <w:szCs w:val="24"/>
        </w:rPr>
        <w:t xml:space="preserve"> </w:t>
      </w:r>
      <w:r>
        <w:rPr>
          <w:rFonts w:cs="Times New Roman"/>
          <w:sz w:val="24"/>
          <w:szCs w:val="24"/>
        </w:rPr>
        <w:t xml:space="preserve">stimulierte </w:t>
      </w:r>
      <w:r w:rsidR="001D4349">
        <w:rPr>
          <w:rFonts w:cs="Times New Roman"/>
          <w:sz w:val="24"/>
          <w:szCs w:val="24"/>
        </w:rPr>
        <w:t xml:space="preserve">offenen </w:t>
      </w:r>
      <w:r w:rsidR="000C05AC">
        <w:rPr>
          <w:rFonts w:cs="Times New Roman"/>
          <w:sz w:val="24"/>
          <w:szCs w:val="24"/>
        </w:rPr>
        <w:t>Widerspruch</w:t>
      </w:r>
      <w:r w:rsidR="007F150F">
        <w:rPr>
          <w:rFonts w:cs="Times New Roman"/>
          <w:sz w:val="24"/>
          <w:szCs w:val="24"/>
        </w:rPr>
        <w:t>. Am deutlichsten artikulierte</w:t>
      </w:r>
      <w:r w:rsidR="001F0037">
        <w:rPr>
          <w:rFonts w:cs="Times New Roman"/>
          <w:sz w:val="24"/>
          <w:szCs w:val="24"/>
        </w:rPr>
        <w:t xml:space="preserve"> er</w:t>
      </w:r>
      <w:r w:rsidR="007F150F">
        <w:rPr>
          <w:rFonts w:cs="Times New Roman"/>
          <w:sz w:val="24"/>
          <w:szCs w:val="24"/>
        </w:rPr>
        <w:t xml:space="preserve"> sich</w:t>
      </w:r>
      <w:r w:rsidR="00BD60C6">
        <w:rPr>
          <w:rFonts w:cs="Times New Roman"/>
          <w:sz w:val="24"/>
          <w:szCs w:val="24"/>
        </w:rPr>
        <w:t xml:space="preserve"> </w:t>
      </w:r>
      <w:r w:rsidR="007F150F">
        <w:rPr>
          <w:rFonts w:cs="Times New Roman"/>
          <w:sz w:val="24"/>
          <w:szCs w:val="24"/>
        </w:rPr>
        <w:t xml:space="preserve">bei </w:t>
      </w:r>
      <w:r w:rsidR="000C05AC">
        <w:rPr>
          <w:rFonts w:cs="Times New Roman"/>
          <w:sz w:val="24"/>
          <w:szCs w:val="24"/>
        </w:rPr>
        <w:t>Ernst Bloch und Hanns Eisler</w:t>
      </w:r>
      <w:r w:rsidR="00EF3EBB">
        <w:rPr>
          <w:rFonts w:cs="Times New Roman"/>
          <w:sz w:val="24"/>
          <w:szCs w:val="24"/>
        </w:rPr>
        <w:t xml:space="preserve">. </w:t>
      </w:r>
      <w:r w:rsidR="00965C18">
        <w:rPr>
          <w:rFonts w:cs="Times New Roman"/>
          <w:sz w:val="24"/>
          <w:szCs w:val="24"/>
        </w:rPr>
        <w:t xml:space="preserve">Ihre Reaktion bestand darin, den </w:t>
      </w:r>
      <w:r w:rsidR="00EF3EBB">
        <w:rPr>
          <w:rFonts w:cs="Times New Roman"/>
          <w:sz w:val="24"/>
          <w:szCs w:val="24"/>
        </w:rPr>
        <w:t>Widersinn</w:t>
      </w:r>
      <w:r w:rsidR="007F150F">
        <w:rPr>
          <w:rFonts w:cs="Times New Roman"/>
          <w:sz w:val="24"/>
          <w:szCs w:val="24"/>
        </w:rPr>
        <w:t xml:space="preserve"> der Debatte </w:t>
      </w:r>
      <w:r w:rsidR="001F0037">
        <w:rPr>
          <w:rFonts w:cs="Times New Roman"/>
          <w:sz w:val="24"/>
          <w:szCs w:val="24"/>
        </w:rPr>
        <w:t xml:space="preserve">mit Hilfe eines </w:t>
      </w:r>
      <w:r w:rsidR="0003778B">
        <w:rPr>
          <w:rFonts w:cs="Times New Roman"/>
          <w:sz w:val="24"/>
          <w:szCs w:val="24"/>
        </w:rPr>
        <w:t xml:space="preserve">fiktiven </w:t>
      </w:r>
      <w:r w:rsidR="001F0037">
        <w:rPr>
          <w:rFonts w:cs="Times New Roman"/>
          <w:sz w:val="24"/>
          <w:szCs w:val="24"/>
        </w:rPr>
        <w:t>Streitgesprächs z</w:t>
      </w:r>
      <w:r w:rsidR="0003778B">
        <w:rPr>
          <w:rFonts w:cs="Times New Roman"/>
          <w:sz w:val="24"/>
          <w:szCs w:val="24"/>
        </w:rPr>
        <w:t>weier</w:t>
      </w:r>
      <w:r w:rsidR="001F0037">
        <w:rPr>
          <w:rFonts w:cs="Times New Roman"/>
          <w:sz w:val="24"/>
          <w:szCs w:val="24"/>
        </w:rPr>
        <w:t xml:space="preserve"> Partner </w:t>
      </w:r>
      <w:r w:rsidR="00965C18">
        <w:rPr>
          <w:rFonts w:cs="Times New Roman"/>
          <w:sz w:val="24"/>
          <w:szCs w:val="24"/>
        </w:rPr>
        <w:t xml:space="preserve">karikaturistisch </w:t>
      </w:r>
      <w:r w:rsidR="007F150F">
        <w:rPr>
          <w:rFonts w:cs="Times New Roman"/>
          <w:sz w:val="24"/>
          <w:szCs w:val="24"/>
        </w:rPr>
        <w:t>zu rep</w:t>
      </w:r>
      <w:r w:rsidR="0003778B">
        <w:rPr>
          <w:rFonts w:cs="Times New Roman"/>
          <w:sz w:val="24"/>
          <w:szCs w:val="24"/>
        </w:rPr>
        <w:t>etie</w:t>
      </w:r>
      <w:r w:rsidR="007F150F">
        <w:rPr>
          <w:rFonts w:cs="Times New Roman"/>
          <w:sz w:val="24"/>
          <w:szCs w:val="24"/>
        </w:rPr>
        <w:t>re</w:t>
      </w:r>
      <w:r w:rsidR="00965C18">
        <w:rPr>
          <w:rFonts w:cs="Times New Roman"/>
          <w:sz w:val="24"/>
          <w:szCs w:val="24"/>
        </w:rPr>
        <w:t>n</w:t>
      </w:r>
      <w:r w:rsidR="007F150F">
        <w:rPr>
          <w:rFonts w:cs="Times New Roman"/>
          <w:sz w:val="24"/>
          <w:szCs w:val="24"/>
        </w:rPr>
        <w:t xml:space="preserve">, </w:t>
      </w:r>
      <w:r w:rsidR="001F0037">
        <w:rPr>
          <w:rFonts w:cs="Times New Roman"/>
          <w:sz w:val="24"/>
          <w:szCs w:val="24"/>
        </w:rPr>
        <w:t>die aufgeworfenen Fragen neu zu diskutieren</w:t>
      </w:r>
      <w:r w:rsidR="0003778B">
        <w:rPr>
          <w:rFonts w:cs="Times New Roman"/>
          <w:sz w:val="24"/>
          <w:szCs w:val="24"/>
        </w:rPr>
        <w:t xml:space="preserve"> und</w:t>
      </w:r>
      <w:r w:rsidR="001F0037">
        <w:rPr>
          <w:rFonts w:cs="Times New Roman"/>
          <w:sz w:val="24"/>
          <w:szCs w:val="24"/>
        </w:rPr>
        <w:t xml:space="preserve"> abschließend in scheinbar naiver Manier zu einer einvernehmlichen Lösung und damit zu einer Widerlegung der von Lukács eingenommen Position zu gelangen</w:t>
      </w:r>
      <w:r w:rsidR="000B1205">
        <w:rPr>
          <w:rFonts w:cs="Times New Roman"/>
          <w:sz w:val="24"/>
          <w:szCs w:val="24"/>
        </w:rPr>
        <w:t>.</w:t>
      </w:r>
    </w:p>
    <w:p w:rsidR="0003778B" w:rsidRDefault="0003778B" w:rsidP="00BA7FF0">
      <w:pPr>
        <w:spacing w:after="0"/>
        <w:rPr>
          <w:rFonts w:cs="Times New Roman"/>
          <w:sz w:val="24"/>
          <w:szCs w:val="24"/>
        </w:rPr>
      </w:pPr>
      <w:r>
        <w:rPr>
          <w:rFonts w:cs="Times New Roman"/>
          <w:sz w:val="24"/>
          <w:szCs w:val="24"/>
        </w:rPr>
        <w:tab/>
        <w:t xml:space="preserve">Das Unterfangen </w:t>
      </w:r>
      <w:r w:rsidR="00E664A3">
        <w:rPr>
          <w:rFonts w:cs="Times New Roman"/>
          <w:sz w:val="24"/>
          <w:szCs w:val="24"/>
        </w:rPr>
        <w:t xml:space="preserve">war </w:t>
      </w:r>
      <w:r>
        <w:rPr>
          <w:rFonts w:cs="Times New Roman"/>
          <w:sz w:val="24"/>
          <w:szCs w:val="24"/>
        </w:rPr>
        <w:t xml:space="preserve">seinem Charakter nach </w:t>
      </w:r>
      <w:r w:rsidR="00AA187D">
        <w:rPr>
          <w:rFonts w:cs="Times New Roman"/>
          <w:sz w:val="24"/>
          <w:szCs w:val="24"/>
        </w:rPr>
        <w:t>gewagt</w:t>
      </w:r>
      <w:r w:rsidR="000B1205">
        <w:rPr>
          <w:rFonts w:cs="Times New Roman"/>
          <w:sz w:val="24"/>
          <w:szCs w:val="24"/>
        </w:rPr>
        <w:t xml:space="preserve">, </w:t>
      </w:r>
      <w:r w:rsidR="0097057E">
        <w:rPr>
          <w:rFonts w:cs="Times New Roman"/>
          <w:sz w:val="24"/>
          <w:szCs w:val="24"/>
        </w:rPr>
        <w:t xml:space="preserve">da </w:t>
      </w:r>
      <w:r w:rsidR="000B1205">
        <w:rPr>
          <w:rFonts w:cs="Times New Roman"/>
          <w:sz w:val="24"/>
          <w:szCs w:val="24"/>
        </w:rPr>
        <w:t xml:space="preserve">Bloch und Eisler </w:t>
      </w:r>
      <w:r w:rsidR="0097057E">
        <w:rPr>
          <w:rFonts w:cs="Times New Roman"/>
          <w:sz w:val="24"/>
          <w:szCs w:val="24"/>
        </w:rPr>
        <w:t xml:space="preserve">der </w:t>
      </w:r>
      <w:r w:rsidR="000B1205">
        <w:rPr>
          <w:rFonts w:cs="Times New Roman"/>
          <w:sz w:val="24"/>
          <w:szCs w:val="24"/>
        </w:rPr>
        <w:t>KPD</w:t>
      </w:r>
      <w:r w:rsidR="0097057E">
        <w:rPr>
          <w:rFonts w:cs="Times New Roman"/>
          <w:sz w:val="24"/>
          <w:szCs w:val="24"/>
        </w:rPr>
        <w:t xml:space="preserve"> nahe standen, möglicherweise sog</w:t>
      </w:r>
      <w:r w:rsidR="00594AEF">
        <w:rPr>
          <w:rFonts w:cs="Times New Roman"/>
          <w:sz w:val="24"/>
          <w:szCs w:val="24"/>
        </w:rPr>
        <w:t>a</w:t>
      </w:r>
      <w:r w:rsidR="0097057E">
        <w:rPr>
          <w:rFonts w:cs="Times New Roman"/>
          <w:sz w:val="24"/>
          <w:szCs w:val="24"/>
        </w:rPr>
        <w:t xml:space="preserve">r </w:t>
      </w:r>
      <w:r w:rsidR="000B1205">
        <w:rPr>
          <w:rFonts w:cs="Times New Roman"/>
          <w:sz w:val="24"/>
          <w:szCs w:val="24"/>
        </w:rPr>
        <w:t>Mitglieder waren</w:t>
      </w:r>
      <w:r w:rsidR="00E664A3">
        <w:rPr>
          <w:rFonts w:cs="Times New Roman"/>
          <w:sz w:val="24"/>
          <w:szCs w:val="24"/>
        </w:rPr>
        <w:t>.</w:t>
      </w:r>
      <w:r w:rsidR="000B1205">
        <w:rPr>
          <w:rStyle w:val="Funotenzeichen"/>
          <w:rFonts w:cs="Times New Roman"/>
          <w:sz w:val="24"/>
          <w:szCs w:val="24"/>
        </w:rPr>
        <w:footnoteReference w:id="3"/>
      </w:r>
      <w:r w:rsidR="00E664A3">
        <w:rPr>
          <w:rFonts w:cs="Times New Roman"/>
          <w:sz w:val="24"/>
          <w:szCs w:val="24"/>
        </w:rPr>
        <w:t xml:space="preserve"> </w:t>
      </w:r>
      <w:r w:rsidR="007F150F">
        <w:rPr>
          <w:rFonts w:cs="Times New Roman"/>
          <w:sz w:val="24"/>
          <w:szCs w:val="24"/>
        </w:rPr>
        <w:t>W</w:t>
      </w:r>
      <w:r w:rsidR="00557448">
        <w:rPr>
          <w:rFonts w:cs="Times New Roman"/>
          <w:sz w:val="24"/>
          <w:szCs w:val="24"/>
        </w:rPr>
        <w:t>e</w:t>
      </w:r>
      <w:r w:rsidR="007F150F">
        <w:rPr>
          <w:rFonts w:cs="Times New Roman"/>
          <w:sz w:val="24"/>
          <w:szCs w:val="24"/>
        </w:rPr>
        <w:t xml:space="preserve">r sich der Autorität der Partei nicht beugte, </w:t>
      </w:r>
      <w:r w:rsidR="00557448">
        <w:rPr>
          <w:rFonts w:cs="Times New Roman"/>
          <w:sz w:val="24"/>
          <w:szCs w:val="24"/>
        </w:rPr>
        <w:t xml:space="preserve">dem </w:t>
      </w:r>
      <w:r w:rsidR="00E664A3">
        <w:rPr>
          <w:rFonts w:cs="Times New Roman"/>
          <w:sz w:val="24"/>
          <w:szCs w:val="24"/>
        </w:rPr>
        <w:t xml:space="preserve">drohte Isolierung. </w:t>
      </w:r>
      <w:r w:rsidR="00557448">
        <w:rPr>
          <w:rFonts w:cs="Times New Roman"/>
          <w:sz w:val="24"/>
          <w:szCs w:val="24"/>
        </w:rPr>
        <w:t>O</w:t>
      </w:r>
      <w:r w:rsidR="00E664A3">
        <w:rPr>
          <w:rFonts w:cs="Times New Roman"/>
          <w:sz w:val="24"/>
          <w:szCs w:val="24"/>
        </w:rPr>
        <w:t xml:space="preserve">ffensichtlich schoben Bloch und Eisler derartige Bedenken </w:t>
      </w:r>
      <w:r w:rsidR="000739A6">
        <w:rPr>
          <w:rFonts w:cs="Times New Roman"/>
          <w:sz w:val="24"/>
          <w:szCs w:val="24"/>
        </w:rPr>
        <w:t xml:space="preserve">jedoch </w:t>
      </w:r>
      <w:r w:rsidR="00E664A3">
        <w:rPr>
          <w:rFonts w:cs="Times New Roman"/>
          <w:sz w:val="24"/>
          <w:szCs w:val="24"/>
        </w:rPr>
        <w:t xml:space="preserve">beiseite. </w:t>
      </w:r>
      <w:r w:rsidR="002C389B">
        <w:rPr>
          <w:rFonts w:cs="Times New Roman"/>
          <w:sz w:val="24"/>
          <w:szCs w:val="24"/>
        </w:rPr>
        <w:t>E</w:t>
      </w:r>
      <w:r w:rsidR="000C05AC">
        <w:rPr>
          <w:rFonts w:cs="Times New Roman"/>
          <w:sz w:val="24"/>
          <w:szCs w:val="24"/>
        </w:rPr>
        <w:t>instweilen</w:t>
      </w:r>
      <w:r>
        <w:rPr>
          <w:rFonts w:cs="Times New Roman"/>
          <w:sz w:val="24"/>
          <w:szCs w:val="24"/>
        </w:rPr>
        <w:t xml:space="preserve">, so glaubten sie zumindest, </w:t>
      </w:r>
      <w:r w:rsidR="000C05AC">
        <w:rPr>
          <w:rFonts w:cs="Times New Roman"/>
          <w:sz w:val="24"/>
          <w:szCs w:val="24"/>
        </w:rPr>
        <w:t xml:space="preserve">war die marxistische </w:t>
      </w:r>
      <w:r w:rsidR="000C05AC">
        <w:rPr>
          <w:rFonts w:cs="Times New Roman"/>
          <w:sz w:val="24"/>
          <w:szCs w:val="24"/>
        </w:rPr>
        <w:lastRenderedPageBreak/>
        <w:t>Theoriediskussion noch offen für</w:t>
      </w:r>
      <w:r w:rsidR="00557448">
        <w:rPr>
          <w:rFonts w:cs="Times New Roman"/>
          <w:sz w:val="24"/>
          <w:szCs w:val="24"/>
        </w:rPr>
        <w:t xml:space="preserve"> eine</w:t>
      </w:r>
      <w:r w:rsidR="000C05AC">
        <w:rPr>
          <w:rFonts w:cs="Times New Roman"/>
          <w:sz w:val="24"/>
          <w:szCs w:val="24"/>
        </w:rPr>
        <w:t xml:space="preserve"> </w:t>
      </w:r>
      <w:r w:rsidR="00BD60C6">
        <w:rPr>
          <w:rFonts w:cs="Times New Roman"/>
          <w:sz w:val="24"/>
          <w:szCs w:val="24"/>
        </w:rPr>
        <w:t>frei</w:t>
      </w:r>
      <w:r w:rsidR="001B6613">
        <w:rPr>
          <w:rFonts w:cs="Times New Roman"/>
          <w:sz w:val="24"/>
          <w:szCs w:val="24"/>
        </w:rPr>
        <w:t>e, von keinem Tabu belastete Erörterung</w:t>
      </w:r>
      <w:r w:rsidR="00557448">
        <w:rPr>
          <w:rFonts w:cs="Times New Roman"/>
          <w:sz w:val="24"/>
          <w:szCs w:val="24"/>
        </w:rPr>
        <w:t xml:space="preserve"> strittiger Frag</w:t>
      </w:r>
      <w:r w:rsidR="000C05AC">
        <w:rPr>
          <w:rFonts w:cs="Times New Roman"/>
          <w:sz w:val="24"/>
          <w:szCs w:val="24"/>
        </w:rPr>
        <w:t>en.</w:t>
      </w:r>
      <w:r w:rsidR="00481A2B">
        <w:rPr>
          <w:rFonts w:cs="Times New Roman"/>
          <w:sz w:val="24"/>
          <w:szCs w:val="24"/>
        </w:rPr>
        <w:t xml:space="preserve"> </w:t>
      </w:r>
      <w:r>
        <w:rPr>
          <w:rFonts w:cs="Times New Roman"/>
          <w:sz w:val="24"/>
          <w:szCs w:val="24"/>
        </w:rPr>
        <w:t>– D</w:t>
      </w:r>
      <w:r w:rsidR="00E93804">
        <w:rPr>
          <w:rFonts w:cs="Times New Roman"/>
          <w:sz w:val="24"/>
          <w:szCs w:val="24"/>
        </w:rPr>
        <w:t xml:space="preserve">ie </w:t>
      </w:r>
      <w:r w:rsidR="00E664A3">
        <w:rPr>
          <w:rFonts w:cs="Times New Roman"/>
          <w:sz w:val="24"/>
          <w:szCs w:val="24"/>
        </w:rPr>
        <w:t>beiden B</w:t>
      </w:r>
      <w:r w:rsidR="001B6613">
        <w:rPr>
          <w:rFonts w:cs="Times New Roman"/>
          <w:sz w:val="24"/>
          <w:szCs w:val="24"/>
        </w:rPr>
        <w:t>eitr</w:t>
      </w:r>
      <w:r w:rsidR="00E93804">
        <w:rPr>
          <w:rFonts w:cs="Times New Roman"/>
          <w:sz w:val="24"/>
          <w:szCs w:val="24"/>
        </w:rPr>
        <w:t>ä</w:t>
      </w:r>
      <w:r w:rsidR="001B6613">
        <w:rPr>
          <w:rFonts w:cs="Times New Roman"/>
          <w:sz w:val="24"/>
          <w:szCs w:val="24"/>
        </w:rPr>
        <w:t>g</w:t>
      </w:r>
      <w:r w:rsidR="00E93804">
        <w:rPr>
          <w:rFonts w:cs="Times New Roman"/>
          <w:sz w:val="24"/>
          <w:szCs w:val="24"/>
        </w:rPr>
        <w:t>e</w:t>
      </w:r>
      <w:r w:rsidR="001B6613">
        <w:rPr>
          <w:rFonts w:cs="Times New Roman"/>
          <w:sz w:val="24"/>
          <w:szCs w:val="24"/>
        </w:rPr>
        <w:t>, d</w:t>
      </w:r>
      <w:r w:rsidR="00E93804">
        <w:rPr>
          <w:rFonts w:cs="Times New Roman"/>
          <w:sz w:val="24"/>
          <w:szCs w:val="24"/>
        </w:rPr>
        <w:t>i</w:t>
      </w:r>
      <w:r w:rsidR="001B6613">
        <w:rPr>
          <w:rFonts w:cs="Times New Roman"/>
          <w:sz w:val="24"/>
          <w:szCs w:val="24"/>
        </w:rPr>
        <w:t xml:space="preserve">e Bloch und Eisler </w:t>
      </w:r>
      <w:r w:rsidR="00E93804">
        <w:rPr>
          <w:rFonts w:cs="Times New Roman"/>
          <w:sz w:val="24"/>
          <w:szCs w:val="24"/>
        </w:rPr>
        <w:t xml:space="preserve">gemeinsam </w:t>
      </w:r>
      <w:r w:rsidR="001B6613">
        <w:rPr>
          <w:rFonts w:cs="Times New Roman"/>
          <w:sz w:val="24"/>
          <w:szCs w:val="24"/>
        </w:rPr>
        <w:t>verfassten:</w:t>
      </w:r>
      <w:r w:rsidR="001B6613" w:rsidRPr="001B6613">
        <w:rPr>
          <w:rFonts w:cs="Times New Roman"/>
          <w:sz w:val="24"/>
          <w:szCs w:val="24"/>
        </w:rPr>
        <w:t xml:space="preserve"> </w:t>
      </w:r>
      <w:r w:rsidR="001B6613" w:rsidRPr="00E2751C">
        <w:rPr>
          <w:rFonts w:cs="Times New Roman"/>
          <w:sz w:val="24"/>
          <w:szCs w:val="24"/>
        </w:rPr>
        <w:t>„Avantgarde</w:t>
      </w:r>
      <w:r w:rsidR="00E93804">
        <w:rPr>
          <w:rFonts w:cs="Times New Roman"/>
          <w:sz w:val="24"/>
          <w:szCs w:val="24"/>
        </w:rPr>
        <w:t>-Kunst</w:t>
      </w:r>
      <w:r w:rsidR="001B6613" w:rsidRPr="00E2751C">
        <w:rPr>
          <w:rFonts w:cs="Times New Roman"/>
          <w:sz w:val="24"/>
          <w:szCs w:val="24"/>
        </w:rPr>
        <w:t xml:space="preserve"> und Volksfront“</w:t>
      </w:r>
      <w:r w:rsidR="00E93804">
        <w:rPr>
          <w:rStyle w:val="Funotenzeichen"/>
          <w:rFonts w:cs="Times New Roman"/>
          <w:sz w:val="24"/>
          <w:szCs w:val="24"/>
        </w:rPr>
        <w:footnoteReference w:id="4"/>
      </w:r>
      <w:r w:rsidR="00E93804" w:rsidRPr="00E93804">
        <w:rPr>
          <w:rFonts w:cs="Times New Roman"/>
          <w:sz w:val="24"/>
          <w:szCs w:val="24"/>
        </w:rPr>
        <w:t xml:space="preserve"> </w:t>
      </w:r>
      <w:r w:rsidR="00E93804">
        <w:rPr>
          <w:rFonts w:cs="Times New Roman"/>
          <w:sz w:val="24"/>
          <w:szCs w:val="24"/>
        </w:rPr>
        <w:t xml:space="preserve">sowie </w:t>
      </w:r>
      <w:r w:rsidR="00E93804" w:rsidRPr="00E2751C">
        <w:rPr>
          <w:rFonts w:cs="Times New Roman"/>
          <w:sz w:val="24"/>
          <w:szCs w:val="24"/>
        </w:rPr>
        <w:t>„Die Kunst zu erben“</w:t>
      </w:r>
      <w:r w:rsidR="008719C7">
        <w:rPr>
          <w:rStyle w:val="Funotenzeichen"/>
          <w:rFonts w:cs="Times New Roman"/>
          <w:sz w:val="24"/>
          <w:szCs w:val="24"/>
        </w:rPr>
        <w:footnoteReference w:id="5"/>
      </w:r>
      <w:r w:rsidR="001B6613">
        <w:rPr>
          <w:rFonts w:cs="Times New Roman"/>
          <w:sz w:val="24"/>
          <w:szCs w:val="24"/>
        </w:rPr>
        <w:t>, erschien</w:t>
      </w:r>
      <w:r w:rsidR="00E93804">
        <w:rPr>
          <w:rFonts w:cs="Times New Roman"/>
          <w:sz w:val="24"/>
          <w:szCs w:val="24"/>
        </w:rPr>
        <w:t>en</w:t>
      </w:r>
      <w:r w:rsidR="001B6613">
        <w:rPr>
          <w:rFonts w:cs="Times New Roman"/>
          <w:sz w:val="24"/>
          <w:szCs w:val="24"/>
        </w:rPr>
        <w:t xml:space="preserve"> nicht </w:t>
      </w:r>
      <w:r w:rsidR="00BD60C6">
        <w:rPr>
          <w:rFonts w:cs="Times New Roman"/>
          <w:sz w:val="24"/>
          <w:szCs w:val="24"/>
        </w:rPr>
        <w:t xml:space="preserve">in </w:t>
      </w:r>
      <w:r w:rsidR="00BD60C6">
        <w:rPr>
          <w:rFonts w:cs="Times New Roman"/>
          <w:i/>
          <w:sz w:val="24"/>
          <w:szCs w:val="24"/>
        </w:rPr>
        <w:t xml:space="preserve">Das Wort </w:t>
      </w:r>
      <w:r w:rsidR="00BD60C6">
        <w:rPr>
          <w:rFonts w:cs="Times New Roman"/>
          <w:sz w:val="24"/>
          <w:szCs w:val="24"/>
        </w:rPr>
        <w:t xml:space="preserve">oder in der </w:t>
      </w:r>
      <w:r w:rsidR="00BD60C6">
        <w:rPr>
          <w:rFonts w:cs="Times New Roman"/>
          <w:i/>
          <w:sz w:val="24"/>
          <w:szCs w:val="24"/>
        </w:rPr>
        <w:t>Internationalen Literatur</w:t>
      </w:r>
      <w:r w:rsidR="00E93804">
        <w:rPr>
          <w:rFonts w:cs="Times New Roman"/>
          <w:i/>
          <w:sz w:val="24"/>
          <w:szCs w:val="24"/>
        </w:rPr>
        <w:t xml:space="preserve">. </w:t>
      </w:r>
      <w:r w:rsidR="00481A2B">
        <w:rPr>
          <w:rFonts w:cs="Times New Roman"/>
          <w:sz w:val="24"/>
          <w:szCs w:val="24"/>
        </w:rPr>
        <w:t xml:space="preserve">Ob </w:t>
      </w:r>
      <w:r w:rsidR="00557448">
        <w:rPr>
          <w:rFonts w:cs="Times New Roman"/>
          <w:sz w:val="24"/>
          <w:szCs w:val="24"/>
        </w:rPr>
        <w:t>di</w:t>
      </w:r>
      <w:r w:rsidR="00BD60C6">
        <w:rPr>
          <w:rFonts w:cs="Times New Roman"/>
          <w:sz w:val="24"/>
          <w:szCs w:val="24"/>
        </w:rPr>
        <w:t xml:space="preserve">e Publikation in einer </w:t>
      </w:r>
      <w:r w:rsidR="00E664A3">
        <w:rPr>
          <w:rFonts w:cs="Times New Roman"/>
          <w:sz w:val="24"/>
          <w:szCs w:val="24"/>
        </w:rPr>
        <w:t>d</w:t>
      </w:r>
      <w:r>
        <w:rPr>
          <w:rFonts w:cs="Times New Roman"/>
          <w:sz w:val="24"/>
          <w:szCs w:val="24"/>
        </w:rPr>
        <w:t>ies</w:t>
      </w:r>
      <w:r w:rsidR="00E664A3">
        <w:rPr>
          <w:rFonts w:cs="Times New Roman"/>
          <w:sz w:val="24"/>
          <w:szCs w:val="24"/>
        </w:rPr>
        <w:t xml:space="preserve">er </w:t>
      </w:r>
      <w:r>
        <w:rPr>
          <w:rFonts w:cs="Times New Roman"/>
          <w:sz w:val="24"/>
          <w:szCs w:val="24"/>
        </w:rPr>
        <w:t>bei</w:t>
      </w:r>
      <w:r w:rsidR="00BD60C6">
        <w:rPr>
          <w:rFonts w:cs="Times New Roman"/>
          <w:sz w:val="24"/>
          <w:szCs w:val="24"/>
        </w:rPr>
        <w:t>den Zeitschriften</w:t>
      </w:r>
      <w:r w:rsidR="00E93804">
        <w:rPr>
          <w:rFonts w:cs="Times New Roman"/>
          <w:sz w:val="24"/>
          <w:szCs w:val="24"/>
        </w:rPr>
        <w:t xml:space="preserve"> </w:t>
      </w:r>
      <w:r w:rsidR="00481A2B">
        <w:rPr>
          <w:rFonts w:cs="Times New Roman"/>
          <w:sz w:val="24"/>
          <w:szCs w:val="24"/>
        </w:rPr>
        <w:t>überhaupt erwogen w</w:t>
      </w:r>
      <w:r w:rsidR="00062BC7">
        <w:rPr>
          <w:rFonts w:cs="Times New Roman"/>
          <w:sz w:val="24"/>
          <w:szCs w:val="24"/>
        </w:rPr>
        <w:t>or</w:t>
      </w:r>
      <w:r w:rsidR="00BD60C6">
        <w:rPr>
          <w:rFonts w:cs="Times New Roman"/>
          <w:sz w:val="24"/>
          <w:szCs w:val="24"/>
        </w:rPr>
        <w:t>de</w:t>
      </w:r>
      <w:r w:rsidR="00062BC7">
        <w:rPr>
          <w:rFonts w:cs="Times New Roman"/>
          <w:sz w:val="24"/>
          <w:szCs w:val="24"/>
        </w:rPr>
        <w:t>n war</w:t>
      </w:r>
      <w:r w:rsidR="00481A2B">
        <w:rPr>
          <w:rFonts w:cs="Times New Roman"/>
          <w:sz w:val="24"/>
          <w:szCs w:val="24"/>
        </w:rPr>
        <w:t>, ist unwahrscheinlich.</w:t>
      </w:r>
      <w:r w:rsidR="00481A2B">
        <w:rPr>
          <w:rStyle w:val="Funotenzeichen"/>
          <w:rFonts w:cs="Times New Roman"/>
          <w:sz w:val="24"/>
          <w:szCs w:val="24"/>
        </w:rPr>
        <w:footnoteReference w:id="6"/>
      </w:r>
      <w:r w:rsidR="00481A2B">
        <w:rPr>
          <w:rFonts w:cs="Times New Roman"/>
          <w:sz w:val="24"/>
          <w:szCs w:val="24"/>
        </w:rPr>
        <w:t xml:space="preserve"> </w:t>
      </w:r>
      <w:r>
        <w:rPr>
          <w:rFonts w:cs="Times New Roman"/>
          <w:sz w:val="24"/>
          <w:szCs w:val="24"/>
        </w:rPr>
        <w:t xml:space="preserve">Als Publikationsorgan </w:t>
      </w:r>
      <w:r w:rsidR="00481A2B">
        <w:rPr>
          <w:rFonts w:cs="Times New Roman"/>
          <w:sz w:val="24"/>
          <w:szCs w:val="24"/>
        </w:rPr>
        <w:t>wählt</w:t>
      </w:r>
      <w:r w:rsidR="00E93804">
        <w:rPr>
          <w:rFonts w:cs="Times New Roman"/>
          <w:sz w:val="24"/>
          <w:szCs w:val="24"/>
        </w:rPr>
        <w:t xml:space="preserve">en </w:t>
      </w:r>
      <w:r>
        <w:rPr>
          <w:rFonts w:cs="Times New Roman"/>
          <w:sz w:val="24"/>
          <w:szCs w:val="24"/>
        </w:rPr>
        <w:t xml:space="preserve">sie </w:t>
      </w:r>
      <w:r w:rsidR="00E93804">
        <w:rPr>
          <w:rFonts w:cs="Times New Roman"/>
          <w:sz w:val="24"/>
          <w:szCs w:val="24"/>
        </w:rPr>
        <w:t>eine zwar link</w:t>
      </w:r>
      <w:r w:rsidR="00557448">
        <w:rPr>
          <w:rFonts w:cs="Times New Roman"/>
          <w:sz w:val="24"/>
          <w:szCs w:val="24"/>
        </w:rPr>
        <w:t>s orientierte</w:t>
      </w:r>
      <w:r w:rsidR="00E93804">
        <w:rPr>
          <w:rFonts w:cs="Times New Roman"/>
          <w:sz w:val="24"/>
          <w:szCs w:val="24"/>
        </w:rPr>
        <w:t xml:space="preserve">, von Moskau </w:t>
      </w:r>
      <w:r w:rsidR="00557448">
        <w:rPr>
          <w:rFonts w:cs="Times New Roman"/>
          <w:sz w:val="24"/>
          <w:szCs w:val="24"/>
        </w:rPr>
        <w:t xml:space="preserve">jedoch </w:t>
      </w:r>
      <w:r w:rsidR="00E93804">
        <w:rPr>
          <w:rFonts w:cs="Times New Roman"/>
          <w:sz w:val="24"/>
          <w:szCs w:val="24"/>
        </w:rPr>
        <w:t>– vermeintlich</w:t>
      </w:r>
      <w:r w:rsidR="00E93804">
        <w:rPr>
          <w:rStyle w:val="Funotenzeichen"/>
          <w:rFonts w:cs="Times New Roman"/>
          <w:sz w:val="24"/>
          <w:szCs w:val="24"/>
        </w:rPr>
        <w:footnoteReference w:id="7"/>
      </w:r>
      <w:r w:rsidR="00E93804">
        <w:rPr>
          <w:rFonts w:cs="Times New Roman"/>
          <w:sz w:val="24"/>
          <w:szCs w:val="24"/>
        </w:rPr>
        <w:t xml:space="preserve"> – </w:t>
      </w:r>
      <w:r w:rsidR="00E93804" w:rsidRPr="00E93804">
        <w:rPr>
          <w:rFonts w:cs="Times New Roman"/>
          <w:i/>
          <w:sz w:val="24"/>
          <w:szCs w:val="24"/>
        </w:rPr>
        <w:t>unabhängige</w:t>
      </w:r>
      <w:r w:rsidR="00E93804">
        <w:rPr>
          <w:rFonts w:cs="Times New Roman"/>
          <w:sz w:val="24"/>
          <w:szCs w:val="24"/>
        </w:rPr>
        <w:t xml:space="preserve"> Zeitschrift: die</w:t>
      </w:r>
      <w:r w:rsidR="007E4E35" w:rsidRPr="00E2751C">
        <w:rPr>
          <w:rFonts w:cs="Times New Roman"/>
          <w:sz w:val="24"/>
          <w:szCs w:val="24"/>
        </w:rPr>
        <w:t xml:space="preserve"> </w:t>
      </w:r>
      <w:r w:rsidR="001B6613">
        <w:rPr>
          <w:rFonts w:cs="Times New Roman"/>
          <w:sz w:val="24"/>
          <w:szCs w:val="24"/>
        </w:rPr>
        <w:t xml:space="preserve">von Hermann </w:t>
      </w:r>
      <w:proofErr w:type="spellStart"/>
      <w:r w:rsidR="001B6613">
        <w:rPr>
          <w:rFonts w:cs="Times New Roman"/>
          <w:sz w:val="24"/>
          <w:szCs w:val="24"/>
        </w:rPr>
        <w:t>Budzislawski</w:t>
      </w:r>
      <w:proofErr w:type="spellEnd"/>
      <w:r w:rsidR="001B6613">
        <w:rPr>
          <w:rFonts w:cs="Times New Roman"/>
          <w:sz w:val="24"/>
          <w:szCs w:val="24"/>
        </w:rPr>
        <w:t xml:space="preserve"> herausgegebene </w:t>
      </w:r>
      <w:r w:rsidR="007E4E35" w:rsidRPr="001B6613">
        <w:rPr>
          <w:rFonts w:cs="Times New Roman"/>
          <w:i/>
          <w:sz w:val="24"/>
          <w:szCs w:val="24"/>
        </w:rPr>
        <w:t>Neuen Weltbühne</w:t>
      </w:r>
      <w:r w:rsidR="00E93804">
        <w:rPr>
          <w:rFonts w:cs="Times New Roman"/>
          <w:sz w:val="24"/>
          <w:szCs w:val="24"/>
        </w:rPr>
        <w:t xml:space="preserve">, das Nachfolgeorgan der Berliner </w:t>
      </w:r>
      <w:r w:rsidR="00E93804">
        <w:rPr>
          <w:rFonts w:cs="Times New Roman"/>
          <w:i/>
          <w:sz w:val="24"/>
          <w:szCs w:val="24"/>
        </w:rPr>
        <w:t>Weltbühne</w:t>
      </w:r>
      <w:r w:rsidR="001B6613">
        <w:rPr>
          <w:rFonts w:cs="Times New Roman"/>
          <w:sz w:val="24"/>
          <w:szCs w:val="24"/>
        </w:rPr>
        <w:t>.</w:t>
      </w:r>
      <w:r w:rsidR="00CE730C">
        <w:rPr>
          <w:rFonts w:cs="Times New Roman"/>
          <w:sz w:val="24"/>
          <w:szCs w:val="24"/>
        </w:rPr>
        <w:t xml:space="preserve"> </w:t>
      </w:r>
    </w:p>
    <w:p w:rsidR="008B15B2" w:rsidRDefault="0003778B" w:rsidP="00BA7FF0">
      <w:pPr>
        <w:spacing w:after="0"/>
        <w:rPr>
          <w:sz w:val="24"/>
          <w:szCs w:val="24"/>
        </w:rPr>
      </w:pPr>
      <w:r>
        <w:rPr>
          <w:rFonts w:cs="Times New Roman"/>
          <w:sz w:val="24"/>
          <w:szCs w:val="24"/>
        </w:rPr>
        <w:tab/>
      </w:r>
      <w:r w:rsidR="00BD60C6" w:rsidRPr="00B413F2">
        <w:rPr>
          <w:sz w:val="24"/>
          <w:szCs w:val="24"/>
        </w:rPr>
        <w:t xml:space="preserve">„Avantgarde-Kunst und Volksfront“ </w:t>
      </w:r>
      <w:r w:rsidR="00103E65">
        <w:rPr>
          <w:sz w:val="24"/>
          <w:szCs w:val="24"/>
        </w:rPr>
        <w:t xml:space="preserve">ist auf das </w:t>
      </w:r>
      <w:r w:rsidR="00BD60C6" w:rsidRPr="00B413F2">
        <w:rPr>
          <w:sz w:val="24"/>
          <w:szCs w:val="24"/>
        </w:rPr>
        <w:t xml:space="preserve">Argument </w:t>
      </w:r>
      <w:r w:rsidR="00103E65">
        <w:rPr>
          <w:sz w:val="24"/>
          <w:szCs w:val="24"/>
        </w:rPr>
        <w:t>fokussiert</w:t>
      </w:r>
      <w:r w:rsidR="00BD60C6" w:rsidRPr="00B413F2">
        <w:rPr>
          <w:sz w:val="24"/>
          <w:szCs w:val="24"/>
        </w:rPr>
        <w:t xml:space="preserve">, die proletarischen Massen </w:t>
      </w:r>
      <w:r w:rsidR="00762F45">
        <w:rPr>
          <w:sz w:val="24"/>
          <w:szCs w:val="24"/>
        </w:rPr>
        <w:t>stünden</w:t>
      </w:r>
      <w:r w:rsidR="00BD60C6" w:rsidRPr="00B413F2">
        <w:rPr>
          <w:sz w:val="24"/>
          <w:szCs w:val="24"/>
        </w:rPr>
        <w:t xml:space="preserve"> der modernen Kunst: </w:t>
      </w:r>
      <w:r w:rsidR="00103E65">
        <w:rPr>
          <w:sz w:val="24"/>
          <w:szCs w:val="24"/>
        </w:rPr>
        <w:t xml:space="preserve">der </w:t>
      </w:r>
      <w:r w:rsidR="00BD60C6" w:rsidRPr="00B413F2">
        <w:rPr>
          <w:sz w:val="24"/>
          <w:szCs w:val="24"/>
        </w:rPr>
        <w:t>atonale</w:t>
      </w:r>
      <w:r w:rsidR="009617F7">
        <w:rPr>
          <w:sz w:val="24"/>
          <w:szCs w:val="24"/>
        </w:rPr>
        <w:t>n</w:t>
      </w:r>
      <w:r w:rsidR="00BD60C6" w:rsidRPr="00B413F2">
        <w:rPr>
          <w:sz w:val="24"/>
          <w:szCs w:val="24"/>
        </w:rPr>
        <w:t xml:space="preserve"> Musik und </w:t>
      </w:r>
      <w:r w:rsidR="009617F7">
        <w:rPr>
          <w:sz w:val="24"/>
          <w:szCs w:val="24"/>
        </w:rPr>
        <w:t xml:space="preserve">der </w:t>
      </w:r>
      <w:r w:rsidR="00A56071">
        <w:rPr>
          <w:sz w:val="24"/>
          <w:szCs w:val="24"/>
        </w:rPr>
        <w:t>zeitgenössisch</w:t>
      </w:r>
      <w:r w:rsidR="00BD60C6" w:rsidRPr="00B413F2">
        <w:rPr>
          <w:sz w:val="24"/>
          <w:szCs w:val="24"/>
        </w:rPr>
        <w:t>e</w:t>
      </w:r>
      <w:r w:rsidR="009617F7">
        <w:rPr>
          <w:sz w:val="24"/>
          <w:szCs w:val="24"/>
        </w:rPr>
        <w:t>n</w:t>
      </w:r>
      <w:r w:rsidR="00BD60C6" w:rsidRPr="00B413F2">
        <w:rPr>
          <w:sz w:val="24"/>
          <w:szCs w:val="24"/>
        </w:rPr>
        <w:t xml:space="preserve"> Malerei, </w:t>
      </w:r>
      <w:r w:rsidR="00762F45">
        <w:rPr>
          <w:sz w:val="24"/>
          <w:szCs w:val="24"/>
        </w:rPr>
        <w:t>im Wesentlichen verständnislos gegenüber</w:t>
      </w:r>
      <w:r w:rsidR="00BD60C6" w:rsidRPr="00B413F2">
        <w:rPr>
          <w:sz w:val="24"/>
          <w:szCs w:val="24"/>
        </w:rPr>
        <w:t xml:space="preserve">. </w:t>
      </w:r>
      <w:r w:rsidR="00CE730C">
        <w:rPr>
          <w:sz w:val="24"/>
          <w:szCs w:val="24"/>
        </w:rPr>
        <w:t>Die</w:t>
      </w:r>
      <w:r w:rsidR="00A56071">
        <w:rPr>
          <w:sz w:val="24"/>
          <w:szCs w:val="24"/>
        </w:rPr>
        <w:t xml:space="preserve"> entsprechende</w:t>
      </w:r>
      <w:r w:rsidR="00CE730C">
        <w:rPr>
          <w:sz w:val="24"/>
          <w:szCs w:val="24"/>
        </w:rPr>
        <w:t xml:space="preserve"> Behauptung ist in der Expressionismus-Debatte nahezu allenthalben präsent. </w:t>
      </w:r>
      <w:r>
        <w:rPr>
          <w:sz w:val="24"/>
          <w:szCs w:val="24"/>
        </w:rPr>
        <w:t>B</w:t>
      </w:r>
      <w:r w:rsidR="00557448">
        <w:rPr>
          <w:sz w:val="24"/>
          <w:szCs w:val="24"/>
        </w:rPr>
        <w:t xml:space="preserve">ei Bloch und Eisler </w:t>
      </w:r>
      <w:r w:rsidR="00557448" w:rsidRPr="00B413F2">
        <w:rPr>
          <w:sz w:val="24"/>
          <w:szCs w:val="24"/>
        </w:rPr>
        <w:t xml:space="preserve">unterhalten sich </w:t>
      </w:r>
      <w:r w:rsidR="00B309CC">
        <w:rPr>
          <w:sz w:val="24"/>
          <w:szCs w:val="24"/>
        </w:rPr>
        <w:t>über dieses Thema</w:t>
      </w:r>
      <w:r w:rsidR="00B309CC" w:rsidRPr="00B413F2">
        <w:rPr>
          <w:sz w:val="24"/>
          <w:szCs w:val="24"/>
        </w:rPr>
        <w:t xml:space="preserve"> </w:t>
      </w:r>
      <w:r w:rsidR="00BD60C6" w:rsidRPr="00B413F2">
        <w:rPr>
          <w:sz w:val="24"/>
          <w:szCs w:val="24"/>
        </w:rPr>
        <w:t>ein „Skeptiker“ und ein „Optimist“</w:t>
      </w:r>
      <w:r w:rsidR="00557448">
        <w:rPr>
          <w:sz w:val="24"/>
          <w:szCs w:val="24"/>
        </w:rPr>
        <w:t xml:space="preserve">, </w:t>
      </w:r>
      <w:r w:rsidR="00BD60C6" w:rsidRPr="00B413F2">
        <w:rPr>
          <w:sz w:val="24"/>
          <w:szCs w:val="24"/>
        </w:rPr>
        <w:t xml:space="preserve">wobei es </w:t>
      </w:r>
      <w:r w:rsidR="00CE730C">
        <w:rPr>
          <w:sz w:val="24"/>
          <w:szCs w:val="24"/>
        </w:rPr>
        <w:t>falsch</w:t>
      </w:r>
      <w:r w:rsidR="009617F7">
        <w:rPr>
          <w:sz w:val="24"/>
          <w:szCs w:val="24"/>
        </w:rPr>
        <w:t xml:space="preserve"> wäre</w:t>
      </w:r>
      <w:r w:rsidR="00BD60C6" w:rsidRPr="00B413F2">
        <w:rPr>
          <w:sz w:val="24"/>
          <w:szCs w:val="24"/>
        </w:rPr>
        <w:t>, Eisler auf die eine</w:t>
      </w:r>
      <w:r w:rsidR="00CE730C">
        <w:rPr>
          <w:sz w:val="24"/>
          <w:szCs w:val="24"/>
        </w:rPr>
        <w:t xml:space="preserve"> und</w:t>
      </w:r>
      <w:r w:rsidR="00BD60C6" w:rsidRPr="00B413F2">
        <w:rPr>
          <w:sz w:val="24"/>
          <w:szCs w:val="24"/>
        </w:rPr>
        <w:t xml:space="preserve"> Bloch auf die andere Rolle festzulegen</w:t>
      </w:r>
      <w:r w:rsidR="009617F7">
        <w:rPr>
          <w:sz w:val="24"/>
          <w:szCs w:val="24"/>
        </w:rPr>
        <w:t>.</w:t>
      </w:r>
      <w:r w:rsidR="00BD60C6" w:rsidRPr="00B413F2">
        <w:rPr>
          <w:sz w:val="24"/>
          <w:szCs w:val="24"/>
        </w:rPr>
        <w:t xml:space="preserve"> </w:t>
      </w:r>
      <w:r w:rsidR="009617F7">
        <w:rPr>
          <w:sz w:val="24"/>
          <w:szCs w:val="24"/>
        </w:rPr>
        <w:t>D</w:t>
      </w:r>
      <w:r w:rsidR="00BD60C6" w:rsidRPr="00B413F2">
        <w:rPr>
          <w:sz w:val="24"/>
          <w:szCs w:val="24"/>
        </w:rPr>
        <w:t xml:space="preserve">ie </w:t>
      </w:r>
      <w:r w:rsidR="00CE730C">
        <w:rPr>
          <w:sz w:val="24"/>
          <w:szCs w:val="24"/>
        </w:rPr>
        <w:t>Figur</w:t>
      </w:r>
      <w:r w:rsidR="00BD60C6" w:rsidRPr="00B413F2">
        <w:rPr>
          <w:sz w:val="24"/>
          <w:szCs w:val="24"/>
        </w:rPr>
        <w:t xml:space="preserve">en sind </w:t>
      </w:r>
      <w:r w:rsidR="009617F7">
        <w:rPr>
          <w:sz w:val="24"/>
          <w:szCs w:val="24"/>
        </w:rPr>
        <w:t>weitgehend austauschbar</w:t>
      </w:r>
      <w:r w:rsidR="00CE730C">
        <w:rPr>
          <w:sz w:val="24"/>
          <w:szCs w:val="24"/>
        </w:rPr>
        <w:t>.</w:t>
      </w:r>
      <w:r w:rsidR="009617F7">
        <w:rPr>
          <w:sz w:val="24"/>
          <w:szCs w:val="24"/>
        </w:rPr>
        <w:t xml:space="preserve"> </w:t>
      </w:r>
      <w:r w:rsidR="00BD60C6" w:rsidRPr="00B413F2">
        <w:rPr>
          <w:sz w:val="24"/>
          <w:szCs w:val="24"/>
        </w:rPr>
        <w:t xml:space="preserve">Das </w:t>
      </w:r>
      <w:r w:rsidR="009617F7">
        <w:rPr>
          <w:sz w:val="24"/>
          <w:szCs w:val="24"/>
        </w:rPr>
        <w:t>vermeintlich</w:t>
      </w:r>
      <w:r w:rsidR="00BD60C6" w:rsidRPr="00B413F2">
        <w:rPr>
          <w:sz w:val="24"/>
          <w:szCs w:val="24"/>
        </w:rPr>
        <w:t xml:space="preserve">e </w:t>
      </w:r>
      <w:r w:rsidR="009617F7">
        <w:rPr>
          <w:sz w:val="24"/>
          <w:szCs w:val="24"/>
        </w:rPr>
        <w:t>„</w:t>
      </w:r>
      <w:r w:rsidR="00BD60C6" w:rsidRPr="00B413F2">
        <w:rPr>
          <w:sz w:val="24"/>
          <w:szCs w:val="24"/>
        </w:rPr>
        <w:t>Streitgespräch</w:t>
      </w:r>
      <w:r w:rsidR="009617F7">
        <w:rPr>
          <w:sz w:val="24"/>
          <w:szCs w:val="24"/>
        </w:rPr>
        <w:t>“</w:t>
      </w:r>
      <w:r w:rsidR="00BD60C6" w:rsidRPr="00B413F2">
        <w:rPr>
          <w:sz w:val="24"/>
          <w:szCs w:val="24"/>
        </w:rPr>
        <w:t xml:space="preserve"> ist </w:t>
      </w:r>
      <w:r w:rsidR="00064E5C">
        <w:rPr>
          <w:sz w:val="24"/>
          <w:szCs w:val="24"/>
        </w:rPr>
        <w:t>e</w:t>
      </w:r>
      <w:r w:rsidR="00BD60C6" w:rsidRPr="00B413F2">
        <w:rPr>
          <w:sz w:val="24"/>
          <w:szCs w:val="24"/>
        </w:rPr>
        <w:t>in Kunstmittel, ein Lehrdialog</w:t>
      </w:r>
      <w:r w:rsidR="00064E5C">
        <w:rPr>
          <w:sz w:val="24"/>
          <w:szCs w:val="24"/>
        </w:rPr>
        <w:t xml:space="preserve"> </w:t>
      </w:r>
      <w:r w:rsidR="000F433B">
        <w:rPr>
          <w:sz w:val="24"/>
          <w:szCs w:val="24"/>
        </w:rPr>
        <w:t xml:space="preserve">wie Lessings </w:t>
      </w:r>
      <w:r w:rsidR="000F433B">
        <w:rPr>
          <w:i/>
          <w:sz w:val="24"/>
          <w:szCs w:val="24"/>
        </w:rPr>
        <w:t>Ernst und Falk</w:t>
      </w:r>
      <w:r w:rsidR="00BD60C6" w:rsidRPr="00B413F2">
        <w:rPr>
          <w:sz w:val="24"/>
          <w:szCs w:val="24"/>
        </w:rPr>
        <w:t xml:space="preserve">, um </w:t>
      </w:r>
      <w:r w:rsidR="009617F7">
        <w:rPr>
          <w:sz w:val="24"/>
          <w:szCs w:val="24"/>
        </w:rPr>
        <w:t>einen vergleichsweise abstrakten,</w:t>
      </w:r>
      <w:r w:rsidR="00BD60C6" w:rsidRPr="00B413F2">
        <w:rPr>
          <w:sz w:val="24"/>
          <w:szCs w:val="24"/>
        </w:rPr>
        <w:t xml:space="preserve"> theor</w:t>
      </w:r>
      <w:r w:rsidR="009617F7">
        <w:rPr>
          <w:sz w:val="24"/>
          <w:szCs w:val="24"/>
        </w:rPr>
        <w:t>ie</w:t>
      </w:r>
      <w:r w:rsidR="00CE730C">
        <w:rPr>
          <w:sz w:val="24"/>
          <w:szCs w:val="24"/>
        </w:rPr>
        <w:t>bezo</w:t>
      </w:r>
      <w:r w:rsidR="009617F7">
        <w:rPr>
          <w:sz w:val="24"/>
          <w:szCs w:val="24"/>
        </w:rPr>
        <w:t>g</w:t>
      </w:r>
      <w:r w:rsidR="00CE730C">
        <w:rPr>
          <w:sz w:val="24"/>
          <w:szCs w:val="24"/>
        </w:rPr>
        <w:t>en</w:t>
      </w:r>
      <w:r w:rsidR="009617F7">
        <w:rPr>
          <w:sz w:val="24"/>
          <w:szCs w:val="24"/>
        </w:rPr>
        <w:t>en</w:t>
      </w:r>
      <w:r w:rsidR="00BD60C6" w:rsidRPr="00B413F2">
        <w:rPr>
          <w:sz w:val="24"/>
          <w:szCs w:val="24"/>
        </w:rPr>
        <w:t xml:space="preserve"> Sachverhalt </w:t>
      </w:r>
      <w:r w:rsidR="00A56071">
        <w:rPr>
          <w:sz w:val="24"/>
          <w:szCs w:val="24"/>
        </w:rPr>
        <w:t xml:space="preserve">in einem Wechselgespräch </w:t>
      </w:r>
      <w:r w:rsidR="00BD60C6" w:rsidRPr="00B413F2">
        <w:rPr>
          <w:sz w:val="24"/>
          <w:szCs w:val="24"/>
        </w:rPr>
        <w:t xml:space="preserve">anschaulicher </w:t>
      </w:r>
      <w:r w:rsidR="00762F45">
        <w:rPr>
          <w:sz w:val="24"/>
          <w:szCs w:val="24"/>
        </w:rPr>
        <w:t xml:space="preserve">entwickeln </w:t>
      </w:r>
      <w:r w:rsidR="009617F7">
        <w:rPr>
          <w:sz w:val="24"/>
          <w:szCs w:val="24"/>
        </w:rPr>
        <w:t>zu können</w:t>
      </w:r>
      <w:r w:rsidR="00BD60C6" w:rsidRPr="00B413F2">
        <w:rPr>
          <w:sz w:val="24"/>
          <w:szCs w:val="24"/>
        </w:rPr>
        <w:t>.</w:t>
      </w:r>
      <w:r w:rsidR="008B15B2">
        <w:rPr>
          <w:sz w:val="24"/>
          <w:szCs w:val="24"/>
        </w:rPr>
        <w:t xml:space="preserve"> </w:t>
      </w:r>
      <w:r w:rsidR="00B309CC">
        <w:rPr>
          <w:sz w:val="24"/>
          <w:szCs w:val="24"/>
        </w:rPr>
        <w:t xml:space="preserve">Die scheinbare Differenz in den Meinungsäußerungen täuscht. </w:t>
      </w:r>
      <w:r w:rsidR="008B15B2">
        <w:rPr>
          <w:sz w:val="24"/>
          <w:szCs w:val="24"/>
        </w:rPr>
        <w:t xml:space="preserve">Der Gegenstand wird nicht im Dissens, sondern </w:t>
      </w:r>
      <w:r w:rsidR="008B15B2">
        <w:rPr>
          <w:i/>
          <w:sz w:val="24"/>
          <w:szCs w:val="24"/>
        </w:rPr>
        <w:t>aus unterschiedlicher Perspektive</w:t>
      </w:r>
      <w:r w:rsidR="008B15B2">
        <w:rPr>
          <w:sz w:val="24"/>
          <w:szCs w:val="24"/>
        </w:rPr>
        <w:t xml:space="preserve"> diskutiert.</w:t>
      </w:r>
      <w:r w:rsidR="00762F45">
        <w:rPr>
          <w:sz w:val="24"/>
          <w:szCs w:val="24"/>
        </w:rPr>
        <w:t xml:space="preserve"> </w:t>
      </w:r>
      <w:r w:rsidR="00762F45" w:rsidRPr="00B413F2">
        <w:rPr>
          <w:sz w:val="24"/>
          <w:szCs w:val="24"/>
        </w:rPr>
        <w:t xml:space="preserve">Dementsprechend </w:t>
      </w:r>
      <w:r w:rsidR="00B309CC">
        <w:rPr>
          <w:sz w:val="24"/>
          <w:szCs w:val="24"/>
        </w:rPr>
        <w:t xml:space="preserve">endet das Gespräch mit einer </w:t>
      </w:r>
      <w:r w:rsidR="00B309CC" w:rsidRPr="00B413F2">
        <w:rPr>
          <w:sz w:val="24"/>
          <w:szCs w:val="24"/>
        </w:rPr>
        <w:t>deklaratorisch</w:t>
      </w:r>
      <w:r w:rsidR="00B309CC">
        <w:rPr>
          <w:sz w:val="24"/>
          <w:szCs w:val="24"/>
        </w:rPr>
        <w:t>-didaktisch</w:t>
      </w:r>
      <w:r w:rsidR="00B309CC" w:rsidRPr="00B413F2">
        <w:rPr>
          <w:sz w:val="24"/>
          <w:szCs w:val="24"/>
        </w:rPr>
        <w:t xml:space="preserve">en </w:t>
      </w:r>
      <w:r w:rsidR="00B309CC">
        <w:rPr>
          <w:sz w:val="24"/>
          <w:szCs w:val="24"/>
        </w:rPr>
        <w:t>Erklärung,</w:t>
      </w:r>
      <w:r w:rsidR="00B309CC" w:rsidRPr="00B413F2">
        <w:rPr>
          <w:sz w:val="24"/>
          <w:szCs w:val="24"/>
        </w:rPr>
        <w:t xml:space="preserve"> </w:t>
      </w:r>
      <w:r w:rsidR="00B309CC">
        <w:rPr>
          <w:sz w:val="24"/>
          <w:szCs w:val="24"/>
        </w:rPr>
        <w:t>ein</w:t>
      </w:r>
      <w:r w:rsidR="00142FB7">
        <w:rPr>
          <w:sz w:val="24"/>
          <w:szCs w:val="24"/>
        </w:rPr>
        <w:t>e</w:t>
      </w:r>
      <w:r w:rsidR="00762F45" w:rsidRPr="00B413F2">
        <w:rPr>
          <w:sz w:val="24"/>
          <w:szCs w:val="24"/>
        </w:rPr>
        <w:t xml:space="preserve">m </w:t>
      </w:r>
      <w:r w:rsidR="008B15B2">
        <w:rPr>
          <w:sz w:val="24"/>
          <w:szCs w:val="24"/>
        </w:rPr>
        <w:t>Ergebnis</w:t>
      </w:r>
      <w:r w:rsidR="00762F45">
        <w:rPr>
          <w:sz w:val="24"/>
          <w:szCs w:val="24"/>
        </w:rPr>
        <w:t xml:space="preserve">, </w:t>
      </w:r>
      <w:r w:rsidR="00B309CC">
        <w:rPr>
          <w:sz w:val="24"/>
          <w:szCs w:val="24"/>
        </w:rPr>
        <w:t xml:space="preserve">das </w:t>
      </w:r>
      <w:r w:rsidR="008B15B2">
        <w:rPr>
          <w:sz w:val="24"/>
          <w:szCs w:val="24"/>
        </w:rPr>
        <w:t>der „</w:t>
      </w:r>
      <w:r w:rsidR="00762F45" w:rsidRPr="00B413F2">
        <w:rPr>
          <w:sz w:val="24"/>
          <w:szCs w:val="24"/>
        </w:rPr>
        <w:t>Optimist</w:t>
      </w:r>
      <w:r w:rsidR="008B15B2">
        <w:rPr>
          <w:sz w:val="24"/>
          <w:szCs w:val="24"/>
        </w:rPr>
        <w:t>“</w:t>
      </w:r>
      <w:r w:rsidR="00762F45" w:rsidRPr="00B413F2">
        <w:rPr>
          <w:sz w:val="24"/>
          <w:szCs w:val="24"/>
        </w:rPr>
        <w:t xml:space="preserve"> </w:t>
      </w:r>
      <w:r w:rsidR="002B4B5F">
        <w:rPr>
          <w:sz w:val="24"/>
          <w:szCs w:val="24"/>
        </w:rPr>
        <w:t xml:space="preserve">und </w:t>
      </w:r>
      <w:r w:rsidR="008B15B2">
        <w:rPr>
          <w:sz w:val="24"/>
          <w:szCs w:val="24"/>
        </w:rPr>
        <w:t>der</w:t>
      </w:r>
      <w:r w:rsidR="00762F45" w:rsidRPr="00B413F2">
        <w:rPr>
          <w:sz w:val="24"/>
          <w:szCs w:val="24"/>
        </w:rPr>
        <w:t xml:space="preserve"> </w:t>
      </w:r>
      <w:r w:rsidR="008B15B2">
        <w:rPr>
          <w:sz w:val="24"/>
          <w:szCs w:val="24"/>
        </w:rPr>
        <w:t>„</w:t>
      </w:r>
      <w:r w:rsidR="00762F45" w:rsidRPr="00B413F2">
        <w:rPr>
          <w:sz w:val="24"/>
          <w:szCs w:val="24"/>
        </w:rPr>
        <w:t>Skeptiker</w:t>
      </w:r>
      <w:r w:rsidR="008B15B2">
        <w:rPr>
          <w:sz w:val="24"/>
          <w:szCs w:val="24"/>
        </w:rPr>
        <w:t xml:space="preserve">“ </w:t>
      </w:r>
      <w:r w:rsidR="00142FB7" w:rsidRPr="00A56071">
        <w:rPr>
          <w:i/>
          <w:sz w:val="24"/>
          <w:szCs w:val="24"/>
        </w:rPr>
        <w:t>gemeinsam</w:t>
      </w:r>
      <w:r w:rsidR="00142FB7" w:rsidRPr="00142FB7">
        <w:rPr>
          <w:sz w:val="24"/>
          <w:szCs w:val="24"/>
        </w:rPr>
        <w:t xml:space="preserve"> </w:t>
      </w:r>
      <w:r w:rsidR="00142FB7">
        <w:rPr>
          <w:sz w:val="24"/>
          <w:szCs w:val="24"/>
        </w:rPr>
        <w:t>formulier</w:t>
      </w:r>
      <w:r w:rsidR="008B15B2">
        <w:rPr>
          <w:sz w:val="24"/>
          <w:szCs w:val="24"/>
        </w:rPr>
        <w:t>en</w:t>
      </w:r>
      <w:r w:rsidR="00762F45" w:rsidRPr="00B413F2">
        <w:rPr>
          <w:sz w:val="24"/>
          <w:szCs w:val="24"/>
        </w:rPr>
        <w:t>: „Also müssen Volksfront und Künstler</w:t>
      </w:r>
      <w:r w:rsidR="00762F45">
        <w:rPr>
          <w:sz w:val="24"/>
          <w:szCs w:val="24"/>
        </w:rPr>
        <w:t>,</w:t>
      </w:r>
      <w:r w:rsidR="00762F45" w:rsidRPr="00B413F2">
        <w:rPr>
          <w:sz w:val="24"/>
          <w:szCs w:val="24"/>
        </w:rPr>
        <w:t xml:space="preserve"> gemeinsam angegriffen, den Kampf gemeinsam aufnehme</w:t>
      </w:r>
      <w:r w:rsidR="002B4B5F">
        <w:rPr>
          <w:sz w:val="24"/>
          <w:szCs w:val="24"/>
        </w:rPr>
        <w:t>n</w:t>
      </w:r>
      <w:r w:rsidR="00762F45" w:rsidRPr="00B413F2">
        <w:rPr>
          <w:sz w:val="24"/>
          <w:szCs w:val="24"/>
        </w:rPr>
        <w:t xml:space="preserve"> und bestehen.“</w:t>
      </w:r>
      <w:r w:rsidR="00762F45">
        <w:rPr>
          <w:rStyle w:val="Funotenzeichen"/>
          <w:sz w:val="24"/>
          <w:szCs w:val="24"/>
        </w:rPr>
        <w:footnoteReference w:id="8"/>
      </w:r>
      <w:r w:rsidR="00762F45" w:rsidRPr="00B413F2">
        <w:rPr>
          <w:sz w:val="24"/>
          <w:szCs w:val="24"/>
        </w:rPr>
        <w:t xml:space="preserve"> </w:t>
      </w:r>
    </w:p>
    <w:p w:rsidR="00BA7FF0" w:rsidRDefault="008B15B2" w:rsidP="00BA7FF0">
      <w:pPr>
        <w:spacing w:after="0"/>
        <w:rPr>
          <w:sz w:val="24"/>
          <w:szCs w:val="24"/>
        </w:rPr>
      </w:pPr>
      <w:r>
        <w:rPr>
          <w:sz w:val="24"/>
          <w:szCs w:val="24"/>
        </w:rPr>
        <w:tab/>
      </w:r>
      <w:r w:rsidR="00A56071">
        <w:rPr>
          <w:sz w:val="24"/>
          <w:szCs w:val="24"/>
        </w:rPr>
        <w:t>Die Lektüre eines derartigen „Streitgesprächs“ is</w:t>
      </w:r>
      <w:r>
        <w:rPr>
          <w:rFonts w:cs="Times New Roman"/>
          <w:sz w:val="24"/>
          <w:szCs w:val="24"/>
        </w:rPr>
        <w:t xml:space="preserve">t </w:t>
      </w:r>
      <w:r w:rsidR="0057183B">
        <w:rPr>
          <w:rFonts w:cs="Times New Roman"/>
          <w:sz w:val="24"/>
          <w:szCs w:val="24"/>
        </w:rPr>
        <w:t xml:space="preserve">für </w:t>
      </w:r>
      <w:r w:rsidR="00B309CC">
        <w:rPr>
          <w:rFonts w:cs="Times New Roman"/>
          <w:sz w:val="24"/>
          <w:szCs w:val="24"/>
        </w:rPr>
        <w:t>Les</w:t>
      </w:r>
      <w:r w:rsidR="0057183B">
        <w:rPr>
          <w:rFonts w:cs="Times New Roman"/>
          <w:sz w:val="24"/>
          <w:szCs w:val="24"/>
        </w:rPr>
        <w:t>er, d</w:t>
      </w:r>
      <w:r w:rsidR="006B65EB">
        <w:rPr>
          <w:rFonts w:cs="Times New Roman"/>
          <w:sz w:val="24"/>
          <w:szCs w:val="24"/>
        </w:rPr>
        <w:t>i</w:t>
      </w:r>
      <w:r w:rsidR="0057183B">
        <w:rPr>
          <w:rFonts w:cs="Times New Roman"/>
          <w:sz w:val="24"/>
          <w:szCs w:val="24"/>
        </w:rPr>
        <w:t>e d</w:t>
      </w:r>
      <w:r w:rsidR="00A56071">
        <w:rPr>
          <w:rFonts w:cs="Times New Roman"/>
          <w:sz w:val="24"/>
          <w:szCs w:val="24"/>
        </w:rPr>
        <w:t>i</w:t>
      </w:r>
      <w:r w:rsidR="0057183B">
        <w:rPr>
          <w:rFonts w:cs="Times New Roman"/>
          <w:sz w:val="24"/>
          <w:szCs w:val="24"/>
        </w:rPr>
        <w:t xml:space="preserve">e </w:t>
      </w:r>
      <w:r w:rsidR="00A56071">
        <w:rPr>
          <w:rFonts w:cs="Times New Roman"/>
          <w:sz w:val="24"/>
          <w:szCs w:val="24"/>
        </w:rPr>
        <w:t xml:space="preserve">Rituale </w:t>
      </w:r>
      <w:r w:rsidR="006B65EB">
        <w:rPr>
          <w:rFonts w:cs="Times New Roman"/>
          <w:sz w:val="24"/>
          <w:szCs w:val="24"/>
        </w:rPr>
        <w:t xml:space="preserve">offizieller Diskussionen in politischen Parteien kennen, ein Vergnügen, weil für sie der parodistische Charakter der Inszenierung evident ist. </w:t>
      </w:r>
      <w:r w:rsidR="00762F45">
        <w:rPr>
          <w:sz w:val="24"/>
          <w:szCs w:val="24"/>
        </w:rPr>
        <w:t>D</w:t>
      </w:r>
      <w:r w:rsidR="00762F45" w:rsidRPr="00B413F2">
        <w:rPr>
          <w:sz w:val="24"/>
          <w:szCs w:val="24"/>
        </w:rPr>
        <w:t xml:space="preserve">er Text ist </w:t>
      </w:r>
      <w:r w:rsidR="00CB4AB1">
        <w:rPr>
          <w:sz w:val="24"/>
          <w:szCs w:val="24"/>
        </w:rPr>
        <w:t>nach Anlage und Zielrichtung</w:t>
      </w:r>
      <w:r w:rsidR="00762F45" w:rsidRPr="00B413F2">
        <w:rPr>
          <w:sz w:val="24"/>
          <w:szCs w:val="24"/>
        </w:rPr>
        <w:t xml:space="preserve"> </w:t>
      </w:r>
      <w:r w:rsidR="006A4C73">
        <w:rPr>
          <w:sz w:val="24"/>
          <w:szCs w:val="24"/>
        </w:rPr>
        <w:t>absichtsvoll</w:t>
      </w:r>
      <w:r w:rsidR="00FF076C">
        <w:rPr>
          <w:sz w:val="24"/>
          <w:szCs w:val="24"/>
        </w:rPr>
        <w:t xml:space="preserve"> doppelbödig konstruiert: </w:t>
      </w:r>
      <w:r w:rsidR="00826FE4">
        <w:rPr>
          <w:sz w:val="24"/>
          <w:szCs w:val="24"/>
        </w:rPr>
        <w:t xml:space="preserve">nach außen hin </w:t>
      </w:r>
      <w:r w:rsidR="006B65EB">
        <w:rPr>
          <w:sz w:val="24"/>
          <w:szCs w:val="24"/>
        </w:rPr>
        <w:t xml:space="preserve">als </w:t>
      </w:r>
      <w:r w:rsidR="00FF076C">
        <w:rPr>
          <w:sz w:val="24"/>
          <w:szCs w:val="24"/>
        </w:rPr>
        <w:t xml:space="preserve">Stellungnahme zu </w:t>
      </w:r>
      <w:r w:rsidR="006A4C73">
        <w:rPr>
          <w:sz w:val="24"/>
          <w:szCs w:val="24"/>
        </w:rPr>
        <w:t xml:space="preserve">einem </w:t>
      </w:r>
      <w:r w:rsidR="00FF076C">
        <w:rPr>
          <w:sz w:val="24"/>
          <w:szCs w:val="24"/>
        </w:rPr>
        <w:t xml:space="preserve">Sachverhalt, </w:t>
      </w:r>
      <w:r w:rsidR="006B65EB">
        <w:rPr>
          <w:sz w:val="24"/>
          <w:szCs w:val="24"/>
        </w:rPr>
        <w:t xml:space="preserve">über den </w:t>
      </w:r>
      <w:r w:rsidR="00FF076C">
        <w:rPr>
          <w:sz w:val="24"/>
          <w:szCs w:val="24"/>
        </w:rPr>
        <w:t xml:space="preserve">beide Autoren </w:t>
      </w:r>
      <w:r w:rsidR="006B65EB">
        <w:rPr>
          <w:sz w:val="24"/>
          <w:szCs w:val="24"/>
        </w:rPr>
        <w:t>einer Meinung sind</w:t>
      </w:r>
      <w:r w:rsidR="00826FE4">
        <w:rPr>
          <w:sz w:val="24"/>
          <w:szCs w:val="24"/>
        </w:rPr>
        <w:t>,</w:t>
      </w:r>
      <w:r w:rsidR="00FF076C">
        <w:rPr>
          <w:sz w:val="24"/>
          <w:szCs w:val="24"/>
        </w:rPr>
        <w:t xml:space="preserve"> zu</w:t>
      </w:r>
      <w:r w:rsidR="00826FE4">
        <w:rPr>
          <w:sz w:val="24"/>
          <w:szCs w:val="24"/>
        </w:rPr>
        <w:t xml:space="preserve"> </w:t>
      </w:r>
      <w:r w:rsidR="00FF076C">
        <w:rPr>
          <w:sz w:val="24"/>
          <w:szCs w:val="24"/>
        </w:rPr>
        <w:t>gleich</w:t>
      </w:r>
      <w:r w:rsidR="00826FE4">
        <w:rPr>
          <w:sz w:val="24"/>
          <w:szCs w:val="24"/>
        </w:rPr>
        <w:t>er Zeit</w:t>
      </w:r>
      <w:r w:rsidR="00FF076C">
        <w:rPr>
          <w:sz w:val="24"/>
          <w:szCs w:val="24"/>
        </w:rPr>
        <w:t xml:space="preserve"> </w:t>
      </w:r>
      <w:r w:rsidR="006B65EB">
        <w:rPr>
          <w:sz w:val="24"/>
          <w:szCs w:val="24"/>
        </w:rPr>
        <w:t xml:space="preserve">aber auch </w:t>
      </w:r>
      <w:r w:rsidR="00FF076C">
        <w:rPr>
          <w:sz w:val="24"/>
          <w:szCs w:val="24"/>
        </w:rPr>
        <w:t xml:space="preserve">eine </w:t>
      </w:r>
      <w:r w:rsidR="00826FE4">
        <w:rPr>
          <w:sz w:val="24"/>
          <w:szCs w:val="24"/>
        </w:rPr>
        <w:t xml:space="preserve">subtile </w:t>
      </w:r>
      <w:r w:rsidR="00CB4AB1">
        <w:rPr>
          <w:sz w:val="24"/>
          <w:szCs w:val="24"/>
        </w:rPr>
        <w:t>Verballhornung doktrinärer Humorlosigkeit</w:t>
      </w:r>
      <w:r w:rsidR="00762F45" w:rsidRPr="00B413F2">
        <w:rPr>
          <w:sz w:val="24"/>
          <w:szCs w:val="24"/>
        </w:rPr>
        <w:t xml:space="preserve">. Eisler und Bloch brechen </w:t>
      </w:r>
      <w:r w:rsidR="00FF076C">
        <w:rPr>
          <w:sz w:val="24"/>
          <w:szCs w:val="24"/>
        </w:rPr>
        <w:t xml:space="preserve">mit diesem Text </w:t>
      </w:r>
      <w:r w:rsidR="00762F45" w:rsidRPr="00B413F2">
        <w:rPr>
          <w:sz w:val="24"/>
          <w:szCs w:val="24"/>
        </w:rPr>
        <w:t>aus den Zügeln strikter Parteidisziplin und Argumente tötender Sachlichkeit aus.</w:t>
      </w:r>
      <w:r w:rsidR="00BA7FF0">
        <w:rPr>
          <w:sz w:val="24"/>
          <w:szCs w:val="24"/>
        </w:rPr>
        <w:t xml:space="preserve"> </w:t>
      </w:r>
    </w:p>
    <w:p w:rsidR="00D13442" w:rsidRDefault="00BA7FF0" w:rsidP="00BA7FF0">
      <w:pPr>
        <w:spacing w:after="0"/>
        <w:rPr>
          <w:sz w:val="24"/>
          <w:szCs w:val="24"/>
        </w:rPr>
      </w:pPr>
      <w:r>
        <w:rPr>
          <w:sz w:val="24"/>
          <w:szCs w:val="24"/>
        </w:rPr>
        <w:tab/>
      </w:r>
      <w:r w:rsidR="00C7567F">
        <w:rPr>
          <w:sz w:val="24"/>
          <w:szCs w:val="24"/>
        </w:rPr>
        <w:t>D</w:t>
      </w:r>
      <w:r w:rsidR="006A4C73">
        <w:rPr>
          <w:sz w:val="24"/>
          <w:szCs w:val="24"/>
        </w:rPr>
        <w:t>er</w:t>
      </w:r>
      <w:r w:rsidR="00C7567F">
        <w:rPr>
          <w:sz w:val="24"/>
          <w:szCs w:val="24"/>
        </w:rPr>
        <w:t xml:space="preserve"> Text</w:t>
      </w:r>
      <w:r w:rsidR="006A4C73">
        <w:rPr>
          <w:sz w:val="24"/>
          <w:szCs w:val="24"/>
        </w:rPr>
        <w:t xml:space="preserve"> operiert mit</w:t>
      </w:r>
      <w:r w:rsidR="00D13442" w:rsidRPr="00B413F2">
        <w:rPr>
          <w:sz w:val="24"/>
          <w:szCs w:val="24"/>
        </w:rPr>
        <w:t xml:space="preserve"> subversive</w:t>
      </w:r>
      <w:r w:rsidR="00AB22CA">
        <w:rPr>
          <w:sz w:val="24"/>
          <w:szCs w:val="24"/>
        </w:rPr>
        <w:t>r</w:t>
      </w:r>
      <w:r w:rsidR="00D13442" w:rsidRPr="00B413F2">
        <w:rPr>
          <w:sz w:val="24"/>
          <w:szCs w:val="24"/>
        </w:rPr>
        <w:t xml:space="preserve"> Argumentationstechnik. </w:t>
      </w:r>
      <w:r w:rsidR="006B65EB">
        <w:rPr>
          <w:sz w:val="24"/>
          <w:szCs w:val="24"/>
        </w:rPr>
        <w:t>W</w:t>
      </w:r>
      <w:r w:rsidR="006B65EB" w:rsidRPr="00B413F2">
        <w:rPr>
          <w:sz w:val="24"/>
          <w:szCs w:val="24"/>
        </w:rPr>
        <w:t xml:space="preserve">ie </w:t>
      </w:r>
      <w:r w:rsidR="006B65EB">
        <w:rPr>
          <w:sz w:val="24"/>
          <w:szCs w:val="24"/>
        </w:rPr>
        <w:t>offiziell</w:t>
      </w:r>
      <w:r w:rsidR="006B65EB" w:rsidRPr="00B413F2">
        <w:rPr>
          <w:sz w:val="24"/>
          <w:szCs w:val="24"/>
        </w:rPr>
        <w:t xml:space="preserve">e Deklarationen </w:t>
      </w:r>
      <w:r w:rsidR="006A4C73">
        <w:rPr>
          <w:sz w:val="24"/>
          <w:szCs w:val="24"/>
        </w:rPr>
        <w:t xml:space="preserve">werden </w:t>
      </w:r>
      <w:r w:rsidR="006B65EB">
        <w:rPr>
          <w:sz w:val="24"/>
          <w:szCs w:val="24"/>
        </w:rPr>
        <w:t xml:space="preserve">sowohl </w:t>
      </w:r>
      <w:r w:rsidR="006A4C73">
        <w:rPr>
          <w:sz w:val="24"/>
          <w:szCs w:val="24"/>
        </w:rPr>
        <w:t>die</w:t>
      </w:r>
      <w:r w:rsidR="00D13442" w:rsidRPr="00B413F2">
        <w:rPr>
          <w:sz w:val="24"/>
          <w:szCs w:val="24"/>
        </w:rPr>
        <w:t xml:space="preserve"> Argumente </w:t>
      </w:r>
      <w:r w:rsidR="006B65EB">
        <w:rPr>
          <w:sz w:val="24"/>
          <w:szCs w:val="24"/>
        </w:rPr>
        <w:t>des</w:t>
      </w:r>
      <w:r w:rsidR="00C7567F">
        <w:rPr>
          <w:sz w:val="24"/>
          <w:szCs w:val="24"/>
        </w:rPr>
        <w:t xml:space="preserve"> Optimisten </w:t>
      </w:r>
      <w:r w:rsidR="001270CB">
        <w:rPr>
          <w:sz w:val="24"/>
          <w:szCs w:val="24"/>
        </w:rPr>
        <w:t>als auch</w:t>
      </w:r>
      <w:r w:rsidR="00C7567F">
        <w:rPr>
          <w:sz w:val="24"/>
          <w:szCs w:val="24"/>
        </w:rPr>
        <w:t xml:space="preserve"> </w:t>
      </w:r>
      <w:r w:rsidR="006B65EB">
        <w:rPr>
          <w:sz w:val="24"/>
          <w:szCs w:val="24"/>
        </w:rPr>
        <w:t xml:space="preserve">die des </w:t>
      </w:r>
      <w:r w:rsidR="00C7567F">
        <w:rPr>
          <w:sz w:val="24"/>
          <w:szCs w:val="24"/>
        </w:rPr>
        <w:t>Skeptiker</w:t>
      </w:r>
      <w:r w:rsidR="006B65EB">
        <w:rPr>
          <w:sz w:val="24"/>
          <w:szCs w:val="24"/>
        </w:rPr>
        <w:t>s</w:t>
      </w:r>
      <w:r w:rsidR="00C7567F">
        <w:rPr>
          <w:sz w:val="24"/>
          <w:szCs w:val="24"/>
        </w:rPr>
        <w:t xml:space="preserve"> </w:t>
      </w:r>
      <w:r w:rsidR="006B65EB">
        <w:rPr>
          <w:sz w:val="24"/>
          <w:szCs w:val="24"/>
        </w:rPr>
        <w:t>s</w:t>
      </w:r>
      <w:r w:rsidR="006B65EB" w:rsidRPr="00B413F2">
        <w:rPr>
          <w:sz w:val="24"/>
          <w:szCs w:val="24"/>
        </w:rPr>
        <w:t>tocknüchtern</w:t>
      </w:r>
      <w:r w:rsidR="006B65EB">
        <w:rPr>
          <w:sz w:val="24"/>
          <w:szCs w:val="24"/>
        </w:rPr>
        <w:t xml:space="preserve"> </w:t>
      </w:r>
      <w:r>
        <w:rPr>
          <w:sz w:val="24"/>
          <w:szCs w:val="24"/>
        </w:rPr>
        <w:t xml:space="preserve">in betont wohlgeformter, daher </w:t>
      </w:r>
      <w:r w:rsidRPr="00BA7FF0">
        <w:rPr>
          <w:i/>
          <w:sz w:val="24"/>
          <w:szCs w:val="24"/>
        </w:rPr>
        <w:t xml:space="preserve">synthetisch </w:t>
      </w:r>
      <w:r>
        <w:rPr>
          <w:sz w:val="24"/>
          <w:szCs w:val="24"/>
        </w:rPr>
        <w:t xml:space="preserve">anmutender Sprache </w:t>
      </w:r>
      <w:r w:rsidR="00D13442" w:rsidRPr="00B413F2">
        <w:rPr>
          <w:sz w:val="24"/>
          <w:szCs w:val="24"/>
        </w:rPr>
        <w:lastRenderedPageBreak/>
        <w:t xml:space="preserve">aneinandergereiht, so dass </w:t>
      </w:r>
      <w:r w:rsidR="00D13442">
        <w:rPr>
          <w:sz w:val="24"/>
          <w:szCs w:val="24"/>
        </w:rPr>
        <w:t xml:space="preserve">auf sprachlicher Ebene </w:t>
      </w:r>
      <w:r w:rsidR="006B65EB">
        <w:rPr>
          <w:sz w:val="24"/>
          <w:szCs w:val="24"/>
        </w:rPr>
        <w:t xml:space="preserve">in Bezug auf den Text und seine Aussagen </w:t>
      </w:r>
      <w:r w:rsidR="00D13442" w:rsidRPr="00B413F2">
        <w:rPr>
          <w:sz w:val="24"/>
          <w:szCs w:val="24"/>
        </w:rPr>
        <w:t xml:space="preserve">der Eindruck völliger, naiver Linientreue entsteht. </w:t>
      </w:r>
      <w:r w:rsidR="00C7567F">
        <w:rPr>
          <w:sz w:val="24"/>
          <w:szCs w:val="24"/>
        </w:rPr>
        <w:t>Diese</w:t>
      </w:r>
      <w:r w:rsidR="00D13442" w:rsidRPr="00B413F2">
        <w:rPr>
          <w:sz w:val="24"/>
          <w:szCs w:val="24"/>
        </w:rPr>
        <w:t xml:space="preserve"> Aneinanderreihung </w:t>
      </w:r>
      <w:r w:rsidR="000E49C6">
        <w:rPr>
          <w:sz w:val="24"/>
          <w:szCs w:val="24"/>
        </w:rPr>
        <w:t>erweist sich jedoch in zunehmendem Maße als Absurdität</w:t>
      </w:r>
      <w:r w:rsidR="00D13442" w:rsidRPr="00B413F2">
        <w:rPr>
          <w:sz w:val="24"/>
          <w:szCs w:val="24"/>
        </w:rPr>
        <w:t xml:space="preserve">, </w:t>
      </w:r>
      <w:r w:rsidR="00C7567F">
        <w:rPr>
          <w:sz w:val="24"/>
          <w:szCs w:val="24"/>
        </w:rPr>
        <w:t>weil</w:t>
      </w:r>
      <w:r w:rsidR="00D13442" w:rsidRPr="00B413F2">
        <w:rPr>
          <w:sz w:val="24"/>
          <w:szCs w:val="24"/>
        </w:rPr>
        <w:t xml:space="preserve"> sie ein Maß </w:t>
      </w:r>
      <w:r w:rsidR="006A4C73">
        <w:rPr>
          <w:sz w:val="24"/>
          <w:szCs w:val="24"/>
        </w:rPr>
        <w:t>an naiver</w:t>
      </w:r>
      <w:r w:rsidR="00D13442" w:rsidRPr="00B413F2">
        <w:rPr>
          <w:sz w:val="24"/>
          <w:szCs w:val="24"/>
        </w:rPr>
        <w:t xml:space="preserve"> Ernsthaftigkeit suggeriert, d</w:t>
      </w:r>
      <w:r w:rsidR="00C5332B">
        <w:rPr>
          <w:sz w:val="24"/>
          <w:szCs w:val="24"/>
        </w:rPr>
        <w:t xml:space="preserve">ie der </w:t>
      </w:r>
      <w:r w:rsidR="00D13442" w:rsidRPr="00B413F2">
        <w:rPr>
          <w:sz w:val="24"/>
          <w:szCs w:val="24"/>
        </w:rPr>
        <w:t xml:space="preserve">intelligente Leser den Autoren nicht abnimmt. </w:t>
      </w:r>
      <w:r w:rsidR="00DC27D4">
        <w:rPr>
          <w:sz w:val="24"/>
          <w:szCs w:val="24"/>
        </w:rPr>
        <w:t>Er</w:t>
      </w:r>
      <w:r w:rsidR="00D13442">
        <w:rPr>
          <w:sz w:val="24"/>
          <w:szCs w:val="24"/>
        </w:rPr>
        <w:t xml:space="preserve"> beginnt, in der </w:t>
      </w:r>
      <w:r w:rsidR="00C5332B">
        <w:rPr>
          <w:sz w:val="24"/>
          <w:szCs w:val="24"/>
        </w:rPr>
        <w:t xml:space="preserve">vermeintlichen </w:t>
      </w:r>
      <w:r w:rsidR="00D13442">
        <w:rPr>
          <w:sz w:val="24"/>
          <w:szCs w:val="24"/>
        </w:rPr>
        <w:t xml:space="preserve">Naivität den doppelten Boden zu </w:t>
      </w:r>
      <w:r w:rsidR="00C5332B">
        <w:rPr>
          <w:sz w:val="24"/>
          <w:szCs w:val="24"/>
        </w:rPr>
        <w:t>erkenn</w:t>
      </w:r>
      <w:r w:rsidR="00D13442">
        <w:rPr>
          <w:sz w:val="24"/>
          <w:szCs w:val="24"/>
        </w:rPr>
        <w:t xml:space="preserve">en. </w:t>
      </w:r>
      <w:r w:rsidR="007C6430">
        <w:rPr>
          <w:sz w:val="24"/>
          <w:szCs w:val="24"/>
        </w:rPr>
        <w:t>I</w:t>
      </w:r>
      <w:r w:rsidR="00D13442" w:rsidRPr="00B413F2">
        <w:rPr>
          <w:sz w:val="24"/>
          <w:szCs w:val="24"/>
        </w:rPr>
        <w:t>n d</w:t>
      </w:r>
      <w:r w:rsidR="007C6430">
        <w:rPr>
          <w:sz w:val="24"/>
          <w:szCs w:val="24"/>
        </w:rPr>
        <w:t>i</w:t>
      </w:r>
      <w:r w:rsidR="00D13442" w:rsidRPr="00B413F2">
        <w:rPr>
          <w:sz w:val="24"/>
          <w:szCs w:val="24"/>
        </w:rPr>
        <w:t xml:space="preserve">e Deklarationen </w:t>
      </w:r>
      <w:r w:rsidR="007C6430" w:rsidRPr="00B413F2">
        <w:rPr>
          <w:sz w:val="24"/>
          <w:szCs w:val="24"/>
        </w:rPr>
        <w:t xml:space="preserve">werden </w:t>
      </w:r>
      <w:r w:rsidR="007C6430">
        <w:rPr>
          <w:sz w:val="24"/>
          <w:szCs w:val="24"/>
        </w:rPr>
        <w:t xml:space="preserve">zudem </w:t>
      </w:r>
      <w:r w:rsidR="00D13442" w:rsidRPr="00B413F2">
        <w:rPr>
          <w:sz w:val="24"/>
          <w:szCs w:val="24"/>
        </w:rPr>
        <w:t>Namen eingeschmuggelt, die in parteioffiziellen Verlautbarungen längst tabuisiert sind</w:t>
      </w:r>
      <w:r w:rsidR="00EF1A52">
        <w:rPr>
          <w:sz w:val="24"/>
          <w:szCs w:val="24"/>
        </w:rPr>
        <w:t xml:space="preserve">: </w:t>
      </w:r>
      <w:r w:rsidR="00D13442" w:rsidRPr="00B413F2">
        <w:rPr>
          <w:sz w:val="24"/>
          <w:szCs w:val="24"/>
        </w:rPr>
        <w:t xml:space="preserve">Arnold Schönberg, Karl Kraus, </w:t>
      </w:r>
      <w:r w:rsidR="00EF1A52">
        <w:rPr>
          <w:sz w:val="24"/>
          <w:szCs w:val="24"/>
        </w:rPr>
        <w:t xml:space="preserve">Wassily </w:t>
      </w:r>
      <w:r w:rsidR="00D13442" w:rsidRPr="00B413F2">
        <w:rPr>
          <w:sz w:val="24"/>
          <w:szCs w:val="24"/>
        </w:rPr>
        <w:t xml:space="preserve">Kandinsky, Franz Marc, </w:t>
      </w:r>
      <w:r w:rsidR="00EF1A52">
        <w:rPr>
          <w:sz w:val="24"/>
          <w:szCs w:val="24"/>
        </w:rPr>
        <w:t xml:space="preserve">Pablo </w:t>
      </w:r>
      <w:r w:rsidR="00D13442" w:rsidRPr="00B413F2">
        <w:rPr>
          <w:sz w:val="24"/>
          <w:szCs w:val="24"/>
        </w:rPr>
        <w:t xml:space="preserve">Picasso. Das </w:t>
      </w:r>
      <w:r w:rsidR="00DC27D4">
        <w:rPr>
          <w:sz w:val="24"/>
          <w:szCs w:val="24"/>
        </w:rPr>
        <w:t>Resulta</w:t>
      </w:r>
      <w:r w:rsidR="00D13442" w:rsidRPr="00B413F2">
        <w:rPr>
          <w:sz w:val="24"/>
          <w:szCs w:val="24"/>
        </w:rPr>
        <w:t>t</w:t>
      </w:r>
      <w:r w:rsidR="00DC27D4">
        <w:rPr>
          <w:sz w:val="24"/>
          <w:szCs w:val="24"/>
        </w:rPr>
        <w:t xml:space="preserve"> ist</w:t>
      </w:r>
      <w:r w:rsidR="008E702B">
        <w:rPr>
          <w:sz w:val="24"/>
          <w:szCs w:val="24"/>
        </w:rPr>
        <w:t>, dass</w:t>
      </w:r>
      <w:r w:rsidR="00D13442" w:rsidRPr="00B413F2">
        <w:rPr>
          <w:sz w:val="24"/>
          <w:szCs w:val="24"/>
        </w:rPr>
        <w:t xml:space="preserve"> </w:t>
      </w:r>
      <w:r w:rsidR="008E702B">
        <w:rPr>
          <w:sz w:val="24"/>
          <w:szCs w:val="24"/>
        </w:rPr>
        <w:t>d</w:t>
      </w:r>
      <w:r w:rsidR="00D13442" w:rsidRPr="00B413F2">
        <w:rPr>
          <w:sz w:val="24"/>
          <w:szCs w:val="24"/>
        </w:rPr>
        <w:t xml:space="preserve">ie </w:t>
      </w:r>
      <w:r w:rsidR="00C5332B">
        <w:rPr>
          <w:sz w:val="24"/>
          <w:szCs w:val="24"/>
        </w:rPr>
        <w:t>scheinbar wohlgeformte äußere Gestalt – sie erinnert an die „edle Einfalt und stille Größe“ – damit</w:t>
      </w:r>
      <w:r w:rsidR="000E49C6">
        <w:rPr>
          <w:sz w:val="24"/>
          <w:szCs w:val="24"/>
        </w:rPr>
        <w:t xml:space="preserve"> </w:t>
      </w:r>
      <w:r w:rsidR="00EF1A52">
        <w:rPr>
          <w:sz w:val="24"/>
          <w:szCs w:val="24"/>
        </w:rPr>
        <w:t xml:space="preserve">zu einer </w:t>
      </w:r>
      <w:r w:rsidR="000E49C6">
        <w:rPr>
          <w:sz w:val="24"/>
          <w:szCs w:val="24"/>
        </w:rPr>
        <w:t xml:space="preserve">sinnleeren </w:t>
      </w:r>
      <w:r w:rsidR="00EF1A52">
        <w:rPr>
          <w:sz w:val="24"/>
          <w:szCs w:val="24"/>
        </w:rPr>
        <w:t>Hülle wird</w:t>
      </w:r>
      <w:r w:rsidR="000E49C6">
        <w:rPr>
          <w:sz w:val="24"/>
          <w:szCs w:val="24"/>
        </w:rPr>
        <w:t>.</w:t>
      </w:r>
      <w:r w:rsidR="00D13442" w:rsidRPr="00B413F2">
        <w:rPr>
          <w:sz w:val="24"/>
          <w:szCs w:val="24"/>
        </w:rPr>
        <w:t xml:space="preserve"> </w:t>
      </w:r>
      <w:r w:rsidR="000E49C6">
        <w:rPr>
          <w:sz w:val="24"/>
          <w:szCs w:val="24"/>
        </w:rPr>
        <w:t>I</w:t>
      </w:r>
      <w:r w:rsidR="00D13442" w:rsidRPr="00B413F2">
        <w:rPr>
          <w:sz w:val="24"/>
          <w:szCs w:val="24"/>
        </w:rPr>
        <w:t xml:space="preserve">n der formal unangreifbaren Konformität </w:t>
      </w:r>
      <w:r w:rsidR="000E49C6">
        <w:rPr>
          <w:sz w:val="24"/>
          <w:szCs w:val="24"/>
        </w:rPr>
        <w:t>artikul</w:t>
      </w:r>
      <w:r w:rsidR="00D13442" w:rsidRPr="00B413F2">
        <w:rPr>
          <w:sz w:val="24"/>
          <w:szCs w:val="24"/>
        </w:rPr>
        <w:t xml:space="preserve">iert sich </w:t>
      </w:r>
      <w:r w:rsidR="000E49C6">
        <w:rPr>
          <w:sz w:val="24"/>
          <w:szCs w:val="24"/>
        </w:rPr>
        <w:t xml:space="preserve">in Wahrheit </w:t>
      </w:r>
      <w:r w:rsidR="00D13442" w:rsidRPr="00B413F2">
        <w:rPr>
          <w:sz w:val="24"/>
          <w:szCs w:val="24"/>
        </w:rPr>
        <w:t>strikte</w:t>
      </w:r>
      <w:r w:rsidR="0073419B">
        <w:rPr>
          <w:sz w:val="24"/>
          <w:szCs w:val="24"/>
        </w:rPr>
        <w:t>r</w:t>
      </w:r>
      <w:r w:rsidR="00D13442" w:rsidRPr="00B413F2">
        <w:rPr>
          <w:sz w:val="24"/>
          <w:szCs w:val="24"/>
        </w:rPr>
        <w:t xml:space="preserve">, </w:t>
      </w:r>
      <w:r w:rsidR="00C5332B">
        <w:rPr>
          <w:sz w:val="24"/>
          <w:szCs w:val="24"/>
        </w:rPr>
        <w:t xml:space="preserve">in </w:t>
      </w:r>
      <w:r w:rsidR="00EF1A52">
        <w:rPr>
          <w:sz w:val="24"/>
          <w:szCs w:val="24"/>
        </w:rPr>
        <w:t xml:space="preserve">ebenso </w:t>
      </w:r>
      <w:r w:rsidR="008E702B">
        <w:rPr>
          <w:sz w:val="24"/>
          <w:szCs w:val="24"/>
        </w:rPr>
        <w:t>scharfsinnige</w:t>
      </w:r>
      <w:r w:rsidR="00C5332B">
        <w:rPr>
          <w:sz w:val="24"/>
          <w:szCs w:val="24"/>
        </w:rPr>
        <w:t>r</w:t>
      </w:r>
      <w:r w:rsidR="008E702B">
        <w:rPr>
          <w:sz w:val="24"/>
          <w:szCs w:val="24"/>
        </w:rPr>
        <w:t xml:space="preserve"> wie </w:t>
      </w:r>
      <w:r w:rsidR="00EF1A52">
        <w:rPr>
          <w:sz w:val="24"/>
          <w:szCs w:val="24"/>
        </w:rPr>
        <w:t xml:space="preserve">in </w:t>
      </w:r>
      <w:r w:rsidR="00D13442" w:rsidRPr="00B413F2">
        <w:rPr>
          <w:sz w:val="24"/>
          <w:szCs w:val="24"/>
        </w:rPr>
        <w:t>witzige</w:t>
      </w:r>
      <w:r w:rsidR="00EF1A52">
        <w:rPr>
          <w:sz w:val="24"/>
          <w:szCs w:val="24"/>
        </w:rPr>
        <w:t>r</w:t>
      </w:r>
      <w:r w:rsidR="00D13442" w:rsidRPr="00B413F2">
        <w:rPr>
          <w:sz w:val="24"/>
          <w:szCs w:val="24"/>
        </w:rPr>
        <w:t xml:space="preserve"> </w:t>
      </w:r>
      <w:r w:rsidR="0073419B">
        <w:rPr>
          <w:sz w:val="24"/>
          <w:szCs w:val="24"/>
        </w:rPr>
        <w:t>Gestalt</w:t>
      </w:r>
      <w:r w:rsidR="000E49C6">
        <w:rPr>
          <w:sz w:val="24"/>
          <w:szCs w:val="24"/>
        </w:rPr>
        <w:t xml:space="preserve"> </w:t>
      </w:r>
      <w:r w:rsidR="0073419B">
        <w:rPr>
          <w:sz w:val="24"/>
          <w:szCs w:val="24"/>
        </w:rPr>
        <w:t>formulierter</w:t>
      </w:r>
      <w:r w:rsidR="00EF1A52">
        <w:rPr>
          <w:sz w:val="24"/>
          <w:szCs w:val="24"/>
        </w:rPr>
        <w:t xml:space="preserve"> </w:t>
      </w:r>
      <w:r w:rsidR="0073419B">
        <w:rPr>
          <w:sz w:val="24"/>
          <w:szCs w:val="24"/>
        </w:rPr>
        <w:t>Widerspruch</w:t>
      </w:r>
      <w:r w:rsidR="000E49C6">
        <w:rPr>
          <w:sz w:val="24"/>
          <w:szCs w:val="24"/>
        </w:rPr>
        <w:t xml:space="preserve">. </w:t>
      </w:r>
      <w:r w:rsidR="0073419B">
        <w:rPr>
          <w:sz w:val="24"/>
          <w:szCs w:val="24"/>
        </w:rPr>
        <w:t>Er</w:t>
      </w:r>
      <w:r w:rsidR="000E49C6">
        <w:rPr>
          <w:sz w:val="24"/>
          <w:szCs w:val="24"/>
        </w:rPr>
        <w:t xml:space="preserve"> verweist </w:t>
      </w:r>
      <w:r w:rsidR="007C6430">
        <w:rPr>
          <w:sz w:val="24"/>
          <w:szCs w:val="24"/>
        </w:rPr>
        <w:t xml:space="preserve">auf die </w:t>
      </w:r>
      <w:r w:rsidR="007C6430" w:rsidRPr="007C6430">
        <w:rPr>
          <w:i/>
          <w:sz w:val="24"/>
          <w:szCs w:val="24"/>
        </w:rPr>
        <w:t>Eigenständigkeit der Kunst</w:t>
      </w:r>
      <w:r w:rsidR="007C6430">
        <w:rPr>
          <w:sz w:val="24"/>
          <w:szCs w:val="24"/>
        </w:rPr>
        <w:t xml:space="preserve"> und auf </w:t>
      </w:r>
      <w:r w:rsidR="000E49C6">
        <w:rPr>
          <w:sz w:val="24"/>
          <w:szCs w:val="24"/>
        </w:rPr>
        <w:t>das Faktum, dass es angesichts von Kunst u</w:t>
      </w:r>
      <w:r w:rsidR="007C6430">
        <w:rPr>
          <w:sz w:val="24"/>
          <w:szCs w:val="24"/>
        </w:rPr>
        <w:t>nangemessen</w:t>
      </w:r>
      <w:r w:rsidR="000E49C6">
        <w:rPr>
          <w:sz w:val="24"/>
          <w:szCs w:val="24"/>
        </w:rPr>
        <w:t xml:space="preserve"> is</w:t>
      </w:r>
      <w:r w:rsidR="007C6430">
        <w:rPr>
          <w:sz w:val="24"/>
          <w:szCs w:val="24"/>
        </w:rPr>
        <w:t>t</w:t>
      </w:r>
      <w:r w:rsidR="00DC27D4">
        <w:rPr>
          <w:sz w:val="24"/>
          <w:szCs w:val="24"/>
        </w:rPr>
        <w:t xml:space="preserve">, wenn Außenstehende </w:t>
      </w:r>
      <w:r w:rsidR="000E49C6">
        <w:rPr>
          <w:sz w:val="24"/>
          <w:szCs w:val="24"/>
        </w:rPr>
        <w:t>– w</w:t>
      </w:r>
      <w:r w:rsidR="00DC27D4">
        <w:rPr>
          <w:sz w:val="24"/>
          <w:szCs w:val="24"/>
        </w:rPr>
        <w:t>ie der Skeptiker und der Optimist</w:t>
      </w:r>
      <w:r w:rsidR="007C6430">
        <w:rPr>
          <w:sz w:val="24"/>
          <w:szCs w:val="24"/>
        </w:rPr>
        <w:t xml:space="preserve"> </w:t>
      </w:r>
      <w:r w:rsidR="000E49C6">
        <w:rPr>
          <w:sz w:val="24"/>
          <w:szCs w:val="24"/>
        </w:rPr>
        <w:t>– s</w:t>
      </w:r>
      <w:r w:rsidR="00DC27D4">
        <w:rPr>
          <w:sz w:val="24"/>
          <w:szCs w:val="24"/>
        </w:rPr>
        <w:t xml:space="preserve">ich </w:t>
      </w:r>
      <w:r w:rsidR="007C6430" w:rsidRPr="008E702B">
        <w:rPr>
          <w:i/>
          <w:sz w:val="24"/>
          <w:szCs w:val="24"/>
        </w:rPr>
        <w:t>ausschließlich theoretisch</w:t>
      </w:r>
      <w:r w:rsidR="000E49C6">
        <w:rPr>
          <w:sz w:val="24"/>
          <w:szCs w:val="24"/>
        </w:rPr>
        <w:t xml:space="preserve">, </w:t>
      </w:r>
      <w:r w:rsidR="0073419B">
        <w:rPr>
          <w:sz w:val="24"/>
          <w:szCs w:val="24"/>
        </w:rPr>
        <w:t xml:space="preserve">in </w:t>
      </w:r>
      <w:r w:rsidR="000E49C6">
        <w:rPr>
          <w:sz w:val="24"/>
          <w:szCs w:val="24"/>
        </w:rPr>
        <w:t>abstrakt</w:t>
      </w:r>
      <w:r w:rsidR="0073419B">
        <w:rPr>
          <w:sz w:val="24"/>
          <w:szCs w:val="24"/>
        </w:rPr>
        <w:t>er Form</w:t>
      </w:r>
      <w:r w:rsidR="000E49C6">
        <w:rPr>
          <w:sz w:val="24"/>
          <w:szCs w:val="24"/>
        </w:rPr>
        <w:t>,</w:t>
      </w:r>
      <w:r w:rsidR="007C6430">
        <w:rPr>
          <w:sz w:val="24"/>
          <w:szCs w:val="24"/>
        </w:rPr>
        <w:t xml:space="preserve"> </w:t>
      </w:r>
      <w:r w:rsidR="00DC27D4">
        <w:rPr>
          <w:sz w:val="24"/>
          <w:szCs w:val="24"/>
        </w:rPr>
        <w:t>ä</w:t>
      </w:r>
      <w:r w:rsidR="007C6430">
        <w:rPr>
          <w:sz w:val="24"/>
          <w:szCs w:val="24"/>
        </w:rPr>
        <w:t>ußern</w:t>
      </w:r>
      <w:r w:rsidR="00D13442" w:rsidRPr="00B413F2">
        <w:rPr>
          <w:sz w:val="24"/>
          <w:szCs w:val="24"/>
        </w:rPr>
        <w:t>.</w:t>
      </w:r>
      <w:r w:rsidR="00D13442">
        <w:rPr>
          <w:sz w:val="24"/>
          <w:szCs w:val="24"/>
        </w:rPr>
        <w:t xml:space="preserve"> </w:t>
      </w:r>
      <w:r w:rsidR="000E49C6">
        <w:rPr>
          <w:sz w:val="24"/>
          <w:szCs w:val="24"/>
        </w:rPr>
        <w:t>Selbst in der Übereinstimmung</w:t>
      </w:r>
      <w:r w:rsidR="000E49C6">
        <w:rPr>
          <w:rStyle w:val="Funotenzeichen"/>
          <w:sz w:val="24"/>
          <w:szCs w:val="24"/>
        </w:rPr>
        <w:footnoteReference w:id="9"/>
      </w:r>
      <w:r w:rsidR="000E49C6">
        <w:rPr>
          <w:sz w:val="24"/>
          <w:szCs w:val="24"/>
        </w:rPr>
        <w:t xml:space="preserve"> manifestiert sich letztendlich </w:t>
      </w:r>
      <w:r w:rsidR="00C633E2">
        <w:rPr>
          <w:sz w:val="24"/>
          <w:szCs w:val="24"/>
        </w:rPr>
        <w:t xml:space="preserve">also </w:t>
      </w:r>
      <w:r w:rsidR="000E49C6">
        <w:rPr>
          <w:sz w:val="24"/>
          <w:szCs w:val="24"/>
        </w:rPr>
        <w:t xml:space="preserve">Spott: Kritik an der Borniertheit der marxistischen Orthodoxie. </w:t>
      </w:r>
    </w:p>
    <w:p w:rsidR="0073419B" w:rsidRDefault="0073419B" w:rsidP="00BA7FF0">
      <w:pPr>
        <w:spacing w:after="0"/>
        <w:rPr>
          <w:sz w:val="24"/>
          <w:szCs w:val="24"/>
        </w:rPr>
      </w:pPr>
    </w:p>
    <w:p w:rsidR="0073419B" w:rsidRDefault="007E4E35" w:rsidP="007E4E35">
      <w:pPr>
        <w:spacing w:after="0"/>
        <w:rPr>
          <w:rFonts w:cs="Times New Roman"/>
          <w:sz w:val="24"/>
          <w:szCs w:val="24"/>
        </w:rPr>
      </w:pPr>
      <w:r>
        <w:rPr>
          <w:rFonts w:cs="Times New Roman"/>
          <w:sz w:val="24"/>
          <w:szCs w:val="24"/>
        </w:rPr>
        <w:tab/>
      </w:r>
      <w:r w:rsidRPr="00E2751C">
        <w:rPr>
          <w:rFonts w:cs="Times New Roman"/>
          <w:sz w:val="24"/>
          <w:szCs w:val="24"/>
        </w:rPr>
        <w:t xml:space="preserve">In dem zweiten Aufsatz „Die Kunst zu erben“ gehen Bloch und Eisler noch einen Schritt weiter. </w:t>
      </w:r>
      <w:r w:rsidR="00905735" w:rsidRPr="00E2751C">
        <w:rPr>
          <w:rFonts w:cs="Times New Roman"/>
          <w:sz w:val="24"/>
          <w:szCs w:val="24"/>
        </w:rPr>
        <w:t>Hier diskutieren ein „Kunstfreund“ und ein „Produzent“.</w:t>
      </w:r>
      <w:r w:rsidR="00905735">
        <w:rPr>
          <w:rFonts w:cs="Times New Roman"/>
          <w:sz w:val="24"/>
          <w:szCs w:val="24"/>
        </w:rPr>
        <w:t xml:space="preserve"> </w:t>
      </w:r>
      <w:r w:rsidR="00E27CB3">
        <w:rPr>
          <w:rFonts w:cs="Times New Roman"/>
          <w:sz w:val="24"/>
          <w:szCs w:val="24"/>
        </w:rPr>
        <w:t xml:space="preserve">Die Attacken werden </w:t>
      </w:r>
      <w:r w:rsidR="00905735">
        <w:rPr>
          <w:rFonts w:cs="Times New Roman"/>
          <w:sz w:val="24"/>
          <w:szCs w:val="24"/>
        </w:rPr>
        <w:t>schärf</w:t>
      </w:r>
      <w:r w:rsidR="00E27CB3">
        <w:rPr>
          <w:rFonts w:cs="Times New Roman"/>
          <w:sz w:val="24"/>
          <w:szCs w:val="24"/>
        </w:rPr>
        <w:t xml:space="preserve">er. </w:t>
      </w:r>
      <w:r w:rsidRPr="00E2751C">
        <w:rPr>
          <w:rFonts w:cs="Times New Roman"/>
          <w:sz w:val="24"/>
          <w:szCs w:val="24"/>
        </w:rPr>
        <w:t xml:space="preserve">Gleich </w:t>
      </w:r>
      <w:r w:rsidR="00C633E2">
        <w:rPr>
          <w:rFonts w:cs="Times New Roman"/>
          <w:sz w:val="24"/>
          <w:szCs w:val="24"/>
        </w:rPr>
        <w:t>am Anfang</w:t>
      </w:r>
      <w:r w:rsidRPr="00E2751C">
        <w:rPr>
          <w:rFonts w:cs="Times New Roman"/>
          <w:sz w:val="24"/>
          <w:szCs w:val="24"/>
        </w:rPr>
        <w:t xml:space="preserve"> </w:t>
      </w:r>
      <w:r w:rsidR="00905735">
        <w:rPr>
          <w:rFonts w:cs="Times New Roman"/>
          <w:sz w:val="24"/>
          <w:szCs w:val="24"/>
        </w:rPr>
        <w:t>fäll</w:t>
      </w:r>
      <w:r w:rsidRPr="00E2751C">
        <w:rPr>
          <w:rFonts w:cs="Times New Roman"/>
          <w:sz w:val="24"/>
          <w:szCs w:val="24"/>
        </w:rPr>
        <w:t>t der anzügliche, unterschwellig obszöne Satz: „Aber die Freude am Erbvorgang wird einem nicht immer ungetrübt gelassen.“</w:t>
      </w:r>
      <w:r w:rsidR="001270CB">
        <w:rPr>
          <w:rStyle w:val="Funotenzeichen"/>
          <w:rFonts w:cs="Times New Roman"/>
          <w:sz w:val="24"/>
          <w:szCs w:val="24"/>
        </w:rPr>
        <w:footnoteReference w:id="10"/>
      </w:r>
      <w:r w:rsidRPr="00E2751C">
        <w:rPr>
          <w:rFonts w:cs="Times New Roman"/>
          <w:sz w:val="24"/>
          <w:szCs w:val="24"/>
        </w:rPr>
        <w:t xml:space="preserve"> </w:t>
      </w:r>
    </w:p>
    <w:p w:rsidR="001602D9" w:rsidRDefault="0073419B" w:rsidP="007E4E35">
      <w:pPr>
        <w:spacing w:after="0"/>
        <w:rPr>
          <w:rFonts w:cs="Times New Roman"/>
          <w:sz w:val="24"/>
          <w:szCs w:val="24"/>
        </w:rPr>
      </w:pPr>
      <w:r>
        <w:rPr>
          <w:rFonts w:cs="Times New Roman"/>
          <w:sz w:val="24"/>
          <w:szCs w:val="24"/>
        </w:rPr>
        <w:tab/>
        <w:t>Mit dem Begriff „Erbvorgang</w:t>
      </w:r>
      <w:r w:rsidR="00E940AF">
        <w:rPr>
          <w:rFonts w:cs="Times New Roman"/>
          <w:sz w:val="24"/>
          <w:szCs w:val="24"/>
        </w:rPr>
        <w:t>“</w:t>
      </w:r>
      <w:r>
        <w:rPr>
          <w:rFonts w:cs="Times New Roman"/>
          <w:sz w:val="24"/>
          <w:szCs w:val="24"/>
        </w:rPr>
        <w:t xml:space="preserve"> lenken Bloch und Eisler den Blick auf </w:t>
      </w:r>
      <w:r w:rsidR="00E940AF">
        <w:rPr>
          <w:rFonts w:cs="Times New Roman"/>
          <w:sz w:val="24"/>
          <w:szCs w:val="24"/>
        </w:rPr>
        <w:t>d</w:t>
      </w:r>
      <w:r>
        <w:rPr>
          <w:rFonts w:cs="Times New Roman"/>
          <w:sz w:val="24"/>
          <w:szCs w:val="24"/>
        </w:rPr>
        <w:t xml:space="preserve">en zweiten Aspekt der Expressionismus-Debatte: auf </w:t>
      </w:r>
      <w:r w:rsidR="00894FE1">
        <w:rPr>
          <w:rFonts w:cs="Times New Roman"/>
          <w:sz w:val="24"/>
          <w:szCs w:val="24"/>
        </w:rPr>
        <w:t xml:space="preserve">die </w:t>
      </w:r>
      <w:r w:rsidR="00E940AF">
        <w:rPr>
          <w:rFonts w:cs="Times New Roman"/>
          <w:sz w:val="24"/>
          <w:szCs w:val="24"/>
        </w:rPr>
        <w:t>„Erbe“-</w:t>
      </w:r>
      <w:r w:rsidR="00894FE1">
        <w:rPr>
          <w:rFonts w:cs="Times New Roman"/>
          <w:sz w:val="24"/>
          <w:szCs w:val="24"/>
        </w:rPr>
        <w:t>Diskussion</w:t>
      </w:r>
      <w:r>
        <w:rPr>
          <w:rFonts w:cs="Times New Roman"/>
          <w:sz w:val="24"/>
          <w:szCs w:val="24"/>
        </w:rPr>
        <w:t xml:space="preserve">. </w:t>
      </w:r>
      <w:r w:rsidR="00905735">
        <w:rPr>
          <w:rFonts w:cs="Times New Roman"/>
          <w:sz w:val="24"/>
          <w:szCs w:val="24"/>
        </w:rPr>
        <w:t>D</w:t>
      </w:r>
      <w:r w:rsidR="00894FE1">
        <w:rPr>
          <w:rFonts w:cs="Times New Roman"/>
          <w:sz w:val="24"/>
          <w:szCs w:val="24"/>
        </w:rPr>
        <w:t xml:space="preserve">ie Sprache </w:t>
      </w:r>
      <w:r w:rsidR="00905735">
        <w:rPr>
          <w:rFonts w:cs="Times New Roman"/>
          <w:sz w:val="24"/>
          <w:szCs w:val="24"/>
        </w:rPr>
        <w:t xml:space="preserve">ist </w:t>
      </w:r>
      <w:r w:rsidR="00894FE1">
        <w:rPr>
          <w:rFonts w:cs="Times New Roman"/>
          <w:sz w:val="24"/>
          <w:szCs w:val="24"/>
        </w:rPr>
        <w:t xml:space="preserve">Träger der Polemik. </w:t>
      </w:r>
      <w:r w:rsidR="00C633E2">
        <w:rPr>
          <w:rFonts w:cs="Times New Roman"/>
          <w:sz w:val="24"/>
          <w:szCs w:val="24"/>
        </w:rPr>
        <w:t>D</w:t>
      </w:r>
      <w:r w:rsidR="007E4E35" w:rsidRPr="00E2751C">
        <w:rPr>
          <w:rFonts w:cs="Times New Roman"/>
          <w:sz w:val="24"/>
          <w:szCs w:val="24"/>
        </w:rPr>
        <w:t>as Wort „Erbvorgang“</w:t>
      </w:r>
      <w:r w:rsidR="00C633E2">
        <w:rPr>
          <w:rFonts w:cs="Times New Roman"/>
          <w:sz w:val="24"/>
          <w:szCs w:val="24"/>
        </w:rPr>
        <w:t xml:space="preserve">, </w:t>
      </w:r>
      <w:r w:rsidR="007E4E35" w:rsidRPr="00E2751C">
        <w:rPr>
          <w:rFonts w:cs="Times New Roman"/>
          <w:sz w:val="24"/>
          <w:szCs w:val="24"/>
        </w:rPr>
        <w:t>ein</w:t>
      </w:r>
      <w:r w:rsidR="00C633E2">
        <w:rPr>
          <w:rFonts w:cs="Times New Roman"/>
          <w:sz w:val="24"/>
          <w:szCs w:val="24"/>
        </w:rPr>
        <w:t xml:space="preserve"> Neologismus, ist </w:t>
      </w:r>
      <w:r w:rsidR="00894FE1">
        <w:rPr>
          <w:rFonts w:cs="Times New Roman"/>
          <w:sz w:val="24"/>
          <w:szCs w:val="24"/>
        </w:rPr>
        <w:t xml:space="preserve">offensichtlich </w:t>
      </w:r>
      <w:r w:rsidR="007E4E35" w:rsidRPr="00E2751C">
        <w:rPr>
          <w:rFonts w:cs="Times New Roman"/>
          <w:sz w:val="24"/>
          <w:szCs w:val="24"/>
        </w:rPr>
        <w:t>e</w:t>
      </w:r>
      <w:r w:rsidR="00894FE1">
        <w:rPr>
          <w:rFonts w:cs="Times New Roman"/>
          <w:sz w:val="24"/>
          <w:szCs w:val="24"/>
        </w:rPr>
        <w:t>ine</w:t>
      </w:r>
      <w:r w:rsidR="007E4E35" w:rsidRPr="00E2751C">
        <w:rPr>
          <w:rFonts w:cs="Times New Roman"/>
          <w:sz w:val="24"/>
          <w:szCs w:val="24"/>
        </w:rPr>
        <w:t xml:space="preserve"> Variation de</w:t>
      </w:r>
      <w:r w:rsidR="00C633E2">
        <w:rPr>
          <w:rFonts w:cs="Times New Roman"/>
          <w:sz w:val="24"/>
          <w:szCs w:val="24"/>
        </w:rPr>
        <w:t xml:space="preserve">s Begriffs </w:t>
      </w:r>
      <w:r w:rsidR="007E4E35" w:rsidRPr="00E2751C">
        <w:rPr>
          <w:rFonts w:cs="Times New Roman"/>
          <w:sz w:val="24"/>
          <w:szCs w:val="24"/>
        </w:rPr>
        <w:t xml:space="preserve">„Zeugungsvorgang“. </w:t>
      </w:r>
      <w:r w:rsidR="00C633E2">
        <w:rPr>
          <w:rFonts w:cs="Times New Roman"/>
          <w:sz w:val="24"/>
          <w:szCs w:val="24"/>
        </w:rPr>
        <w:t>B</w:t>
      </w:r>
      <w:r w:rsidR="007E4E35" w:rsidRPr="00E2751C">
        <w:rPr>
          <w:rFonts w:cs="Times New Roman"/>
          <w:sz w:val="24"/>
          <w:szCs w:val="24"/>
        </w:rPr>
        <w:t>e</w:t>
      </w:r>
      <w:r w:rsidR="00894FE1">
        <w:rPr>
          <w:rFonts w:cs="Times New Roman"/>
          <w:sz w:val="24"/>
          <w:szCs w:val="24"/>
        </w:rPr>
        <w:t>rücksichtig</w:t>
      </w:r>
      <w:r w:rsidR="007E4E35" w:rsidRPr="00E2751C">
        <w:rPr>
          <w:rFonts w:cs="Times New Roman"/>
          <w:sz w:val="24"/>
          <w:szCs w:val="24"/>
        </w:rPr>
        <w:t>t</w:t>
      </w:r>
      <w:r w:rsidR="00C633E2">
        <w:rPr>
          <w:rFonts w:cs="Times New Roman"/>
          <w:sz w:val="24"/>
          <w:szCs w:val="24"/>
        </w:rPr>
        <w:t xml:space="preserve"> man</w:t>
      </w:r>
      <w:r w:rsidR="007E4E35" w:rsidRPr="00E2751C">
        <w:rPr>
          <w:rFonts w:cs="Times New Roman"/>
          <w:sz w:val="24"/>
          <w:szCs w:val="24"/>
        </w:rPr>
        <w:t xml:space="preserve">, </w:t>
      </w:r>
      <w:r w:rsidR="007E4E35">
        <w:rPr>
          <w:rFonts w:cs="Times New Roman"/>
          <w:sz w:val="24"/>
          <w:szCs w:val="24"/>
        </w:rPr>
        <w:t>dass</w:t>
      </w:r>
      <w:r w:rsidR="007E4E35" w:rsidRPr="00E2751C">
        <w:rPr>
          <w:rFonts w:cs="Times New Roman"/>
          <w:sz w:val="24"/>
          <w:szCs w:val="24"/>
        </w:rPr>
        <w:t xml:space="preserve"> die am Zeugungsvorgang Beteiligten normalerweise Spaß und Vergnügen empfinden, </w:t>
      </w:r>
      <w:r w:rsidR="00C633E2">
        <w:rPr>
          <w:rFonts w:cs="Times New Roman"/>
          <w:sz w:val="24"/>
          <w:szCs w:val="24"/>
        </w:rPr>
        <w:t xml:space="preserve">dann </w:t>
      </w:r>
      <w:r w:rsidR="001270CB">
        <w:rPr>
          <w:rFonts w:cs="Times New Roman"/>
          <w:sz w:val="24"/>
          <w:szCs w:val="24"/>
        </w:rPr>
        <w:t>wird</w:t>
      </w:r>
      <w:r w:rsidR="007E4E35" w:rsidRPr="00E2751C">
        <w:rPr>
          <w:rFonts w:cs="Times New Roman"/>
          <w:sz w:val="24"/>
          <w:szCs w:val="24"/>
        </w:rPr>
        <w:t xml:space="preserve"> </w:t>
      </w:r>
      <w:r w:rsidR="00C633E2">
        <w:rPr>
          <w:rFonts w:cs="Times New Roman"/>
          <w:sz w:val="24"/>
          <w:szCs w:val="24"/>
        </w:rPr>
        <w:t xml:space="preserve">erkennbar, </w:t>
      </w:r>
      <w:r w:rsidR="00E27CB3">
        <w:rPr>
          <w:rFonts w:cs="Times New Roman"/>
          <w:sz w:val="24"/>
          <w:szCs w:val="24"/>
        </w:rPr>
        <w:t xml:space="preserve">wie aggressiv Bloch und Eisler </w:t>
      </w:r>
      <w:r w:rsidR="009A72A2">
        <w:rPr>
          <w:rFonts w:cs="Times New Roman"/>
          <w:sz w:val="24"/>
          <w:szCs w:val="24"/>
        </w:rPr>
        <w:t>an dieser Stelle</w:t>
      </w:r>
      <w:r w:rsidR="00894FE1">
        <w:rPr>
          <w:rFonts w:cs="Times New Roman"/>
          <w:sz w:val="24"/>
          <w:szCs w:val="24"/>
        </w:rPr>
        <w:t xml:space="preserve"> </w:t>
      </w:r>
      <w:r w:rsidR="00E27CB3">
        <w:rPr>
          <w:rFonts w:cs="Times New Roman"/>
          <w:sz w:val="24"/>
          <w:szCs w:val="24"/>
        </w:rPr>
        <w:t>formulieren</w:t>
      </w:r>
      <w:r w:rsidR="00C633E2">
        <w:rPr>
          <w:rFonts w:cs="Times New Roman"/>
          <w:sz w:val="24"/>
          <w:szCs w:val="24"/>
        </w:rPr>
        <w:t xml:space="preserve">, denn </w:t>
      </w:r>
      <w:r w:rsidR="007E4E35" w:rsidRPr="00E940AF">
        <w:rPr>
          <w:rFonts w:cs="Times New Roman"/>
          <w:sz w:val="24"/>
          <w:szCs w:val="24"/>
        </w:rPr>
        <w:t>der</w:t>
      </w:r>
      <w:r w:rsidR="007E4E35" w:rsidRPr="00E2751C">
        <w:rPr>
          <w:rFonts w:cs="Times New Roman"/>
          <w:sz w:val="24"/>
          <w:szCs w:val="24"/>
        </w:rPr>
        <w:t xml:space="preserve"> Erbvorgang</w:t>
      </w:r>
      <w:r w:rsidR="00E27CB3">
        <w:rPr>
          <w:rFonts w:cs="Times New Roman"/>
          <w:sz w:val="24"/>
          <w:szCs w:val="24"/>
        </w:rPr>
        <w:t xml:space="preserve">, der </w:t>
      </w:r>
      <w:r w:rsidR="009A72A2">
        <w:rPr>
          <w:rFonts w:cs="Times New Roman"/>
          <w:sz w:val="24"/>
          <w:szCs w:val="24"/>
        </w:rPr>
        <w:t>in diesem Fall</w:t>
      </w:r>
      <w:r w:rsidR="00E940AF">
        <w:rPr>
          <w:rFonts w:cs="Times New Roman"/>
          <w:sz w:val="24"/>
          <w:szCs w:val="24"/>
        </w:rPr>
        <w:t xml:space="preserve"> </w:t>
      </w:r>
      <w:r w:rsidR="00894FE1">
        <w:rPr>
          <w:rFonts w:cs="Times New Roman"/>
          <w:sz w:val="24"/>
          <w:szCs w:val="24"/>
        </w:rPr>
        <w:t>als</w:t>
      </w:r>
      <w:r w:rsidR="00E27CB3">
        <w:rPr>
          <w:rFonts w:cs="Times New Roman"/>
          <w:sz w:val="24"/>
          <w:szCs w:val="24"/>
        </w:rPr>
        <w:t xml:space="preserve"> Thema </w:t>
      </w:r>
      <w:r w:rsidR="00894FE1">
        <w:rPr>
          <w:rFonts w:cs="Times New Roman"/>
          <w:sz w:val="24"/>
          <w:szCs w:val="24"/>
        </w:rPr>
        <w:t>an</w:t>
      </w:r>
      <w:r w:rsidR="00E27CB3">
        <w:rPr>
          <w:rFonts w:cs="Times New Roman"/>
          <w:sz w:val="24"/>
          <w:szCs w:val="24"/>
        </w:rPr>
        <w:t xml:space="preserve">steht, </w:t>
      </w:r>
      <w:r w:rsidR="00E27CB3" w:rsidRPr="00894FE1">
        <w:rPr>
          <w:rFonts w:cs="Times New Roman"/>
          <w:sz w:val="24"/>
          <w:szCs w:val="24"/>
        </w:rPr>
        <w:t>vermittelt</w:t>
      </w:r>
      <w:r w:rsidR="007E4E35" w:rsidRPr="00894FE1">
        <w:rPr>
          <w:rFonts w:cs="Times New Roman"/>
          <w:sz w:val="24"/>
          <w:szCs w:val="24"/>
        </w:rPr>
        <w:t xml:space="preserve"> </w:t>
      </w:r>
      <w:r w:rsidR="007E4E35" w:rsidRPr="001602D9">
        <w:rPr>
          <w:rFonts w:cs="Times New Roman"/>
          <w:i/>
          <w:sz w:val="24"/>
          <w:szCs w:val="24"/>
        </w:rPr>
        <w:t>keine</w:t>
      </w:r>
      <w:r w:rsidR="007E4E35" w:rsidRPr="00E2751C">
        <w:rPr>
          <w:rFonts w:cs="Times New Roman"/>
          <w:sz w:val="24"/>
          <w:szCs w:val="24"/>
        </w:rPr>
        <w:t xml:space="preserve"> </w:t>
      </w:r>
      <w:r w:rsidR="007E4E35" w:rsidRPr="00E27CB3">
        <w:rPr>
          <w:rFonts w:cs="Times New Roman"/>
          <w:i/>
          <w:sz w:val="24"/>
          <w:szCs w:val="24"/>
        </w:rPr>
        <w:t>ungetrübte Freude.</w:t>
      </w:r>
      <w:r w:rsidR="007E4E35" w:rsidRPr="00E2751C">
        <w:rPr>
          <w:rFonts w:cs="Times New Roman"/>
          <w:sz w:val="24"/>
          <w:szCs w:val="24"/>
        </w:rPr>
        <w:t xml:space="preserve"> </w:t>
      </w:r>
      <w:r w:rsidR="007E4E35" w:rsidRPr="00894FE1">
        <w:rPr>
          <w:rFonts w:cs="Times New Roman"/>
          <w:sz w:val="24"/>
          <w:szCs w:val="24"/>
        </w:rPr>
        <w:t>Wer</w:t>
      </w:r>
      <w:r w:rsidR="007E4E35" w:rsidRPr="00E2751C">
        <w:rPr>
          <w:rFonts w:cs="Times New Roman"/>
          <w:sz w:val="24"/>
          <w:szCs w:val="24"/>
        </w:rPr>
        <w:t xml:space="preserve"> </w:t>
      </w:r>
      <w:r w:rsidR="00894FE1">
        <w:rPr>
          <w:rFonts w:cs="Times New Roman"/>
          <w:sz w:val="24"/>
          <w:szCs w:val="24"/>
        </w:rPr>
        <w:t xml:space="preserve">speziell </w:t>
      </w:r>
      <w:r w:rsidR="00C633E2">
        <w:rPr>
          <w:rFonts w:cs="Times New Roman"/>
          <w:sz w:val="24"/>
          <w:szCs w:val="24"/>
        </w:rPr>
        <w:t>die</w:t>
      </w:r>
      <w:r w:rsidR="007E4E35" w:rsidRPr="00E2751C">
        <w:rPr>
          <w:rFonts w:cs="Times New Roman"/>
          <w:sz w:val="24"/>
          <w:szCs w:val="24"/>
        </w:rPr>
        <w:t xml:space="preserve"> Freude trübt, ist für die Beteiligten </w:t>
      </w:r>
      <w:r w:rsidR="00C633E2">
        <w:rPr>
          <w:rFonts w:cs="Times New Roman"/>
          <w:sz w:val="24"/>
          <w:szCs w:val="24"/>
        </w:rPr>
        <w:t>evident</w:t>
      </w:r>
      <w:r w:rsidR="007E4E35" w:rsidRPr="00E2751C">
        <w:rPr>
          <w:rFonts w:cs="Times New Roman"/>
          <w:sz w:val="24"/>
          <w:szCs w:val="24"/>
        </w:rPr>
        <w:t xml:space="preserve">: </w:t>
      </w:r>
      <w:r w:rsidR="007E4E35" w:rsidRPr="00894FE1">
        <w:rPr>
          <w:rFonts w:cs="Times New Roman"/>
          <w:i/>
          <w:sz w:val="24"/>
          <w:szCs w:val="24"/>
        </w:rPr>
        <w:t>Georg Lukács</w:t>
      </w:r>
      <w:r w:rsidR="00C633E2">
        <w:rPr>
          <w:rFonts w:cs="Times New Roman"/>
          <w:sz w:val="24"/>
          <w:szCs w:val="24"/>
        </w:rPr>
        <w:t>.</w:t>
      </w:r>
      <w:r w:rsidR="007E4E35" w:rsidRPr="00E2751C">
        <w:rPr>
          <w:rFonts w:cs="Times New Roman"/>
          <w:sz w:val="24"/>
          <w:szCs w:val="24"/>
        </w:rPr>
        <w:t xml:space="preserve"> </w:t>
      </w:r>
      <w:r w:rsidR="00C633E2">
        <w:rPr>
          <w:rFonts w:cs="Times New Roman"/>
          <w:sz w:val="24"/>
          <w:szCs w:val="24"/>
        </w:rPr>
        <w:t>S</w:t>
      </w:r>
      <w:r w:rsidR="007E4E35" w:rsidRPr="00E2751C">
        <w:rPr>
          <w:rFonts w:cs="Times New Roman"/>
          <w:sz w:val="24"/>
          <w:szCs w:val="24"/>
        </w:rPr>
        <w:t>ein Name fällt absichtslos zufällig wenige Zeilen später</w:t>
      </w:r>
      <w:r w:rsidR="00C633E2">
        <w:rPr>
          <w:rFonts w:cs="Times New Roman"/>
          <w:sz w:val="24"/>
          <w:szCs w:val="24"/>
        </w:rPr>
        <w:t>: e</w:t>
      </w:r>
      <w:r w:rsidR="007E4E35" w:rsidRPr="00E2751C">
        <w:rPr>
          <w:rFonts w:cs="Times New Roman"/>
          <w:sz w:val="24"/>
          <w:szCs w:val="24"/>
        </w:rPr>
        <w:t>ine „Demaskierung durch Assoziation“.</w:t>
      </w:r>
    </w:p>
    <w:p w:rsidR="001602D9" w:rsidRDefault="001602D9" w:rsidP="007E4E35">
      <w:pPr>
        <w:spacing w:after="0"/>
        <w:rPr>
          <w:rFonts w:cs="Times New Roman"/>
          <w:sz w:val="24"/>
          <w:szCs w:val="24"/>
        </w:rPr>
      </w:pPr>
      <w:r>
        <w:rPr>
          <w:rFonts w:cs="Times New Roman"/>
          <w:sz w:val="24"/>
          <w:szCs w:val="24"/>
        </w:rPr>
        <w:tab/>
      </w:r>
      <w:r w:rsidR="007E4E35" w:rsidRPr="00E2751C">
        <w:rPr>
          <w:rFonts w:cs="Times New Roman"/>
          <w:sz w:val="24"/>
          <w:szCs w:val="24"/>
        </w:rPr>
        <w:t xml:space="preserve">Wie in „Avantgarde-Kunst und Volksfront“ werden auch in dem zweiten Artikel erneut Namen genannt, die in Moskau längst verpönt sind: Verlaine, Zola, Flaubert, Strawinsky, </w:t>
      </w:r>
      <w:r w:rsidR="00BD1316">
        <w:rPr>
          <w:rFonts w:cs="Times New Roman"/>
          <w:sz w:val="24"/>
          <w:szCs w:val="24"/>
        </w:rPr>
        <w:t xml:space="preserve">Schönberg, Bartók, </w:t>
      </w:r>
      <w:r w:rsidR="007E4E35" w:rsidRPr="00E2751C">
        <w:rPr>
          <w:rFonts w:cs="Times New Roman"/>
          <w:sz w:val="24"/>
          <w:szCs w:val="24"/>
        </w:rPr>
        <w:t xml:space="preserve">Dos </w:t>
      </w:r>
      <w:proofErr w:type="spellStart"/>
      <w:r w:rsidR="007E4E35" w:rsidRPr="00E2751C">
        <w:rPr>
          <w:rFonts w:cs="Times New Roman"/>
          <w:sz w:val="24"/>
          <w:szCs w:val="24"/>
        </w:rPr>
        <w:t>Passos</w:t>
      </w:r>
      <w:proofErr w:type="spellEnd"/>
      <w:r w:rsidR="00E27CB3">
        <w:rPr>
          <w:rFonts w:cs="Times New Roman"/>
          <w:sz w:val="24"/>
          <w:szCs w:val="24"/>
        </w:rPr>
        <w:t>.</w:t>
      </w:r>
      <w:r w:rsidR="007E4E35" w:rsidRPr="00E2751C">
        <w:rPr>
          <w:rFonts w:cs="Times New Roman"/>
          <w:sz w:val="24"/>
          <w:szCs w:val="24"/>
        </w:rPr>
        <w:t xml:space="preserve"> </w:t>
      </w:r>
      <w:r w:rsidR="00E27CB3">
        <w:rPr>
          <w:rFonts w:cs="Times New Roman"/>
          <w:sz w:val="24"/>
          <w:szCs w:val="24"/>
        </w:rPr>
        <w:t>M</w:t>
      </w:r>
      <w:r w:rsidR="007E4E35" w:rsidRPr="00E2751C">
        <w:rPr>
          <w:rFonts w:cs="Times New Roman"/>
          <w:sz w:val="24"/>
          <w:szCs w:val="24"/>
        </w:rPr>
        <w:t xml:space="preserve">it positiver Konnotation </w:t>
      </w:r>
      <w:r w:rsidR="00E27CB3">
        <w:rPr>
          <w:rFonts w:cs="Times New Roman"/>
          <w:sz w:val="24"/>
          <w:szCs w:val="24"/>
        </w:rPr>
        <w:t xml:space="preserve">wird außerdem </w:t>
      </w:r>
      <w:r w:rsidR="007E4E35" w:rsidRPr="00E2751C">
        <w:rPr>
          <w:rFonts w:cs="Times New Roman"/>
          <w:sz w:val="24"/>
          <w:szCs w:val="24"/>
        </w:rPr>
        <w:t>auf Brecht und Eisler verwiesen</w:t>
      </w:r>
      <w:r w:rsidR="00894FE1">
        <w:rPr>
          <w:rFonts w:cs="Times New Roman"/>
          <w:sz w:val="24"/>
          <w:szCs w:val="24"/>
        </w:rPr>
        <w:t xml:space="preserve"> – offener Spott, da Eisler Mitautor des Artikels ist</w:t>
      </w:r>
      <w:r w:rsidR="007E4E35" w:rsidRPr="00E2751C">
        <w:rPr>
          <w:rFonts w:cs="Times New Roman"/>
          <w:sz w:val="24"/>
          <w:szCs w:val="24"/>
        </w:rPr>
        <w:t>. Ausführlich wird auf die Bedeutung Freuds und der Psychoanalyse eingegangen</w:t>
      </w:r>
      <w:r w:rsidR="00894FE1">
        <w:rPr>
          <w:rFonts w:cs="Times New Roman"/>
          <w:sz w:val="24"/>
          <w:szCs w:val="24"/>
        </w:rPr>
        <w:t xml:space="preserve">, ebenfalls </w:t>
      </w:r>
      <w:r w:rsidR="007E4E35" w:rsidRPr="00E2751C">
        <w:rPr>
          <w:rFonts w:cs="Times New Roman"/>
          <w:sz w:val="24"/>
          <w:szCs w:val="24"/>
        </w:rPr>
        <w:t>ein Tabu-Thema.</w:t>
      </w:r>
      <w:r w:rsidR="00BD1316">
        <w:rPr>
          <w:rStyle w:val="Funotenzeichen"/>
          <w:rFonts w:cs="Times New Roman"/>
          <w:sz w:val="24"/>
          <w:szCs w:val="24"/>
        </w:rPr>
        <w:footnoteReference w:id="11"/>
      </w:r>
      <w:r w:rsidR="007E4E35" w:rsidRPr="00E2751C">
        <w:rPr>
          <w:rFonts w:cs="Times New Roman"/>
          <w:sz w:val="24"/>
          <w:szCs w:val="24"/>
        </w:rPr>
        <w:t xml:space="preserve"> </w:t>
      </w:r>
      <w:r>
        <w:rPr>
          <w:rFonts w:cs="Times New Roman"/>
          <w:sz w:val="24"/>
          <w:szCs w:val="24"/>
        </w:rPr>
        <w:t xml:space="preserve">– </w:t>
      </w:r>
      <w:r w:rsidR="007E4E35" w:rsidRPr="00E2751C">
        <w:rPr>
          <w:rFonts w:cs="Times New Roman"/>
          <w:i/>
          <w:sz w:val="24"/>
          <w:szCs w:val="24"/>
        </w:rPr>
        <w:t>Ein</w:t>
      </w:r>
      <w:r w:rsidR="007E4E35" w:rsidRPr="00E2751C">
        <w:rPr>
          <w:rFonts w:cs="Times New Roman"/>
          <w:sz w:val="24"/>
          <w:szCs w:val="24"/>
        </w:rPr>
        <w:t xml:space="preserve"> Bonmot ist besonders amüsant: Wörtlich wird </w:t>
      </w:r>
      <w:r w:rsidR="009A72A2">
        <w:rPr>
          <w:rFonts w:cs="Times New Roman"/>
          <w:sz w:val="24"/>
          <w:szCs w:val="24"/>
        </w:rPr>
        <w:t>über den</w:t>
      </w:r>
      <w:r w:rsidR="007E4E35" w:rsidRPr="00E2751C">
        <w:rPr>
          <w:rFonts w:cs="Times New Roman"/>
          <w:sz w:val="24"/>
          <w:szCs w:val="24"/>
        </w:rPr>
        <w:t xml:space="preserve"> „korrumpierten Misthaufen“ des Zweiten f</w:t>
      </w:r>
      <w:r>
        <w:rPr>
          <w:rFonts w:cs="Times New Roman"/>
          <w:sz w:val="24"/>
          <w:szCs w:val="24"/>
        </w:rPr>
        <w:t>ranzösischen</w:t>
      </w:r>
      <w:r w:rsidR="007E4E35" w:rsidRPr="00E2751C">
        <w:rPr>
          <w:rFonts w:cs="Times New Roman"/>
          <w:sz w:val="24"/>
          <w:szCs w:val="24"/>
        </w:rPr>
        <w:t xml:space="preserve"> Kaiserreichs gesagt, </w:t>
      </w:r>
      <w:r w:rsidR="007E4E35">
        <w:rPr>
          <w:rFonts w:cs="Times New Roman"/>
          <w:sz w:val="24"/>
          <w:szCs w:val="24"/>
        </w:rPr>
        <w:t>dass</w:t>
      </w:r>
      <w:r w:rsidR="007E4E35" w:rsidRPr="00E2751C">
        <w:rPr>
          <w:rFonts w:cs="Times New Roman"/>
          <w:sz w:val="24"/>
          <w:szCs w:val="24"/>
        </w:rPr>
        <w:t xml:space="preserve"> </w:t>
      </w:r>
      <w:r w:rsidR="005E4957">
        <w:rPr>
          <w:rFonts w:cs="Times New Roman"/>
          <w:sz w:val="24"/>
          <w:szCs w:val="24"/>
        </w:rPr>
        <w:t>auf ihm</w:t>
      </w:r>
      <w:r w:rsidR="007E4E35" w:rsidRPr="00E2751C">
        <w:rPr>
          <w:rFonts w:cs="Times New Roman"/>
          <w:sz w:val="24"/>
          <w:szCs w:val="24"/>
        </w:rPr>
        <w:t xml:space="preserve"> </w:t>
      </w:r>
      <w:r w:rsidR="005E4957">
        <w:rPr>
          <w:rFonts w:cs="Times New Roman"/>
          <w:sz w:val="24"/>
          <w:szCs w:val="24"/>
        </w:rPr>
        <w:t>„</w:t>
      </w:r>
      <w:r w:rsidR="007E4E35" w:rsidRPr="00E2751C">
        <w:rPr>
          <w:rFonts w:cs="Times New Roman"/>
          <w:sz w:val="24"/>
          <w:szCs w:val="24"/>
        </w:rPr>
        <w:t xml:space="preserve">eine so </w:t>
      </w:r>
      <w:r w:rsidR="007E4E35" w:rsidRPr="00E2751C">
        <w:rPr>
          <w:rFonts w:cs="Times New Roman"/>
          <w:sz w:val="24"/>
          <w:szCs w:val="24"/>
        </w:rPr>
        <w:lastRenderedPageBreak/>
        <w:t>liebenswerte Sumpfblüte wie Offenbach</w:t>
      </w:r>
      <w:r w:rsidR="005E4957">
        <w:rPr>
          <w:rFonts w:cs="Times New Roman"/>
          <w:sz w:val="24"/>
          <w:szCs w:val="24"/>
        </w:rPr>
        <w:t xml:space="preserve"> gewachsen ist und wachsen konnte“</w:t>
      </w:r>
      <w:r w:rsidR="007E4E35" w:rsidRPr="00E2751C">
        <w:rPr>
          <w:rFonts w:cs="Times New Roman"/>
          <w:sz w:val="24"/>
          <w:szCs w:val="24"/>
        </w:rPr>
        <w:t>.</w:t>
      </w:r>
      <w:r>
        <w:rPr>
          <w:rStyle w:val="Funotenzeichen"/>
          <w:rFonts w:cs="Times New Roman"/>
          <w:sz w:val="24"/>
          <w:szCs w:val="24"/>
        </w:rPr>
        <w:footnoteReference w:id="12"/>
      </w:r>
      <w:r w:rsidR="007E4E35" w:rsidRPr="00E2751C">
        <w:rPr>
          <w:rFonts w:cs="Times New Roman"/>
          <w:sz w:val="24"/>
          <w:szCs w:val="24"/>
        </w:rPr>
        <w:t xml:space="preserve"> D</w:t>
      </w:r>
      <w:r w:rsidR="00E27CB3">
        <w:rPr>
          <w:rFonts w:cs="Times New Roman"/>
          <w:sz w:val="24"/>
          <w:szCs w:val="24"/>
        </w:rPr>
        <w:t>ie Bemerkung</w:t>
      </w:r>
      <w:r w:rsidR="007E4E35" w:rsidRPr="00E2751C">
        <w:rPr>
          <w:rFonts w:cs="Times New Roman"/>
          <w:sz w:val="24"/>
          <w:szCs w:val="24"/>
        </w:rPr>
        <w:t xml:space="preserve"> steht in direkter Verbindung zur </w:t>
      </w:r>
      <w:r w:rsidR="009A72A2">
        <w:rPr>
          <w:rFonts w:cs="Times New Roman"/>
          <w:sz w:val="24"/>
          <w:szCs w:val="24"/>
        </w:rPr>
        <w:t>zentralen</w:t>
      </w:r>
      <w:r w:rsidR="007E4E35" w:rsidRPr="00E2751C">
        <w:rPr>
          <w:rFonts w:cs="Times New Roman"/>
          <w:sz w:val="24"/>
          <w:szCs w:val="24"/>
        </w:rPr>
        <w:t xml:space="preserve"> These, </w:t>
      </w:r>
      <w:r w:rsidR="009A72A2">
        <w:rPr>
          <w:rFonts w:cs="Times New Roman"/>
          <w:sz w:val="24"/>
          <w:szCs w:val="24"/>
        </w:rPr>
        <w:t xml:space="preserve">die Bloch in </w:t>
      </w:r>
      <w:r w:rsidR="009A72A2">
        <w:rPr>
          <w:rFonts w:cs="Times New Roman"/>
          <w:i/>
          <w:sz w:val="24"/>
          <w:szCs w:val="24"/>
        </w:rPr>
        <w:t xml:space="preserve">Erbschaft dieser </w:t>
      </w:r>
      <w:r w:rsidR="009A72A2" w:rsidRPr="009A72A2">
        <w:rPr>
          <w:rFonts w:cs="Times New Roman"/>
          <w:i/>
          <w:sz w:val="24"/>
          <w:szCs w:val="24"/>
        </w:rPr>
        <w:t>Zeit</w:t>
      </w:r>
      <w:r w:rsidR="009A72A2">
        <w:rPr>
          <w:rFonts w:cs="Times New Roman"/>
          <w:sz w:val="24"/>
          <w:szCs w:val="24"/>
        </w:rPr>
        <w:t xml:space="preserve"> formuliert, </w:t>
      </w:r>
      <w:r w:rsidR="007E4E35" w:rsidRPr="009A72A2">
        <w:rPr>
          <w:rFonts w:cs="Times New Roman"/>
          <w:sz w:val="24"/>
          <w:szCs w:val="24"/>
        </w:rPr>
        <w:t>dass</w:t>
      </w:r>
      <w:r w:rsidR="007E4E35" w:rsidRPr="00E2751C">
        <w:rPr>
          <w:rFonts w:cs="Times New Roman"/>
          <w:sz w:val="24"/>
          <w:szCs w:val="24"/>
        </w:rPr>
        <w:t xml:space="preserve"> </w:t>
      </w:r>
      <w:r w:rsidR="00E27CB3">
        <w:rPr>
          <w:rFonts w:cs="Times New Roman"/>
          <w:sz w:val="24"/>
          <w:szCs w:val="24"/>
        </w:rPr>
        <w:t>„</w:t>
      </w:r>
      <w:r w:rsidR="007E4E35" w:rsidRPr="00E2751C">
        <w:rPr>
          <w:rFonts w:cs="Times New Roman"/>
          <w:sz w:val="24"/>
          <w:szCs w:val="24"/>
        </w:rPr>
        <w:t xml:space="preserve">auch die Dekadenz“ ein „lohnenswertes Erbe“ enthalte, </w:t>
      </w:r>
      <w:r w:rsidR="009A72A2">
        <w:rPr>
          <w:rFonts w:cs="Times New Roman"/>
          <w:sz w:val="24"/>
          <w:szCs w:val="24"/>
        </w:rPr>
        <w:t>so</w:t>
      </w:r>
      <w:r w:rsidR="007E4E35" w:rsidRPr="00E2751C">
        <w:rPr>
          <w:rFonts w:cs="Times New Roman"/>
          <w:sz w:val="24"/>
          <w:szCs w:val="24"/>
        </w:rPr>
        <w:t xml:space="preserve">mit in Opposition zu der von Lukács und Hans Günther geäußerten </w:t>
      </w:r>
      <w:r w:rsidR="009A72A2">
        <w:rPr>
          <w:rFonts w:cs="Times New Roman"/>
          <w:sz w:val="24"/>
          <w:szCs w:val="24"/>
        </w:rPr>
        <w:t>These</w:t>
      </w:r>
      <w:r w:rsidR="007E4E35" w:rsidRPr="00E2751C">
        <w:rPr>
          <w:rFonts w:cs="Times New Roman"/>
          <w:sz w:val="24"/>
          <w:szCs w:val="24"/>
        </w:rPr>
        <w:t xml:space="preserve">, </w:t>
      </w:r>
      <w:r w:rsidR="007E4E35">
        <w:rPr>
          <w:rFonts w:cs="Times New Roman"/>
          <w:sz w:val="24"/>
          <w:szCs w:val="24"/>
        </w:rPr>
        <w:t>dass</w:t>
      </w:r>
      <w:r w:rsidR="007E4E35" w:rsidRPr="00E2751C">
        <w:rPr>
          <w:rFonts w:cs="Times New Roman"/>
          <w:sz w:val="24"/>
          <w:szCs w:val="24"/>
        </w:rPr>
        <w:t xml:space="preserve"> nur die „aufsteigende Klasse“ „erbfähig“ sei. </w:t>
      </w:r>
    </w:p>
    <w:p w:rsidR="00D953F7" w:rsidRDefault="009A72A2" w:rsidP="009A72A2">
      <w:pPr>
        <w:spacing w:after="0"/>
        <w:ind w:firstLine="709"/>
        <w:rPr>
          <w:rFonts w:cs="Times New Roman"/>
          <w:sz w:val="24"/>
          <w:szCs w:val="24"/>
        </w:rPr>
      </w:pPr>
      <w:r>
        <w:rPr>
          <w:rFonts w:cs="Times New Roman"/>
          <w:sz w:val="24"/>
          <w:szCs w:val="24"/>
        </w:rPr>
        <w:t>I</w:t>
      </w:r>
      <w:r w:rsidR="001C3298">
        <w:rPr>
          <w:rFonts w:cs="Times New Roman"/>
          <w:sz w:val="24"/>
          <w:szCs w:val="24"/>
        </w:rPr>
        <w:t xml:space="preserve">n </w:t>
      </w:r>
      <w:r w:rsidR="00DF5C95">
        <w:rPr>
          <w:rFonts w:cs="Times New Roman"/>
          <w:sz w:val="24"/>
          <w:szCs w:val="24"/>
        </w:rPr>
        <w:t xml:space="preserve">„Die Kunst zu erben“ ist die Rollenverteilung zwischen den Sprechern eine andere als in „Avantgarde-Kunst und Volksfront“. </w:t>
      </w:r>
      <w:r>
        <w:rPr>
          <w:rFonts w:cs="Times New Roman"/>
          <w:sz w:val="24"/>
          <w:szCs w:val="24"/>
        </w:rPr>
        <w:t xml:space="preserve">Der „Kunstfreund“ nimmt eine </w:t>
      </w:r>
      <w:r w:rsidR="008A6380">
        <w:rPr>
          <w:rFonts w:cs="Times New Roman"/>
          <w:sz w:val="24"/>
          <w:szCs w:val="24"/>
        </w:rPr>
        <w:t>überwiegend</w:t>
      </w:r>
      <w:r>
        <w:rPr>
          <w:rFonts w:cs="Times New Roman"/>
          <w:sz w:val="24"/>
          <w:szCs w:val="24"/>
        </w:rPr>
        <w:t xml:space="preserve"> rezeptive Position ein, während </w:t>
      </w:r>
      <w:r w:rsidR="00AB22CA">
        <w:rPr>
          <w:rFonts w:cs="Times New Roman"/>
          <w:sz w:val="24"/>
          <w:szCs w:val="24"/>
        </w:rPr>
        <w:t xml:space="preserve">der </w:t>
      </w:r>
      <w:r>
        <w:rPr>
          <w:rFonts w:cs="Times New Roman"/>
          <w:sz w:val="24"/>
          <w:szCs w:val="24"/>
        </w:rPr>
        <w:t xml:space="preserve">„Produzent“ </w:t>
      </w:r>
      <w:r w:rsidR="008A6380">
        <w:rPr>
          <w:rFonts w:cs="Times New Roman"/>
          <w:sz w:val="24"/>
          <w:szCs w:val="24"/>
        </w:rPr>
        <w:t xml:space="preserve">als erklärender Dialogpartner fungiert, also </w:t>
      </w:r>
      <w:r w:rsidR="001C3298">
        <w:rPr>
          <w:rFonts w:cs="Times New Roman"/>
          <w:sz w:val="24"/>
          <w:szCs w:val="24"/>
        </w:rPr>
        <w:t>die in Bezug auf das „Erbe“ musikgeschichtlich</w:t>
      </w:r>
      <w:r w:rsidR="00DF5C95">
        <w:rPr>
          <w:rFonts w:cs="Times New Roman"/>
          <w:sz w:val="24"/>
          <w:szCs w:val="24"/>
        </w:rPr>
        <w:t xml:space="preserve"> relevanten</w:t>
      </w:r>
      <w:r w:rsidR="001C3298">
        <w:rPr>
          <w:rFonts w:cs="Times New Roman"/>
          <w:sz w:val="24"/>
          <w:szCs w:val="24"/>
        </w:rPr>
        <w:t xml:space="preserve"> Sachverhalte </w:t>
      </w:r>
      <w:r w:rsidR="00DF5C95">
        <w:rPr>
          <w:rFonts w:cs="Times New Roman"/>
          <w:sz w:val="24"/>
          <w:szCs w:val="24"/>
        </w:rPr>
        <w:t xml:space="preserve">im Detail </w:t>
      </w:r>
      <w:r w:rsidR="001C3298">
        <w:rPr>
          <w:rFonts w:cs="Times New Roman"/>
          <w:sz w:val="24"/>
          <w:szCs w:val="24"/>
        </w:rPr>
        <w:t>erläutert.</w:t>
      </w:r>
      <w:r>
        <w:rPr>
          <w:rFonts w:cs="Times New Roman"/>
          <w:sz w:val="24"/>
          <w:szCs w:val="24"/>
        </w:rPr>
        <w:t xml:space="preserve"> </w:t>
      </w:r>
      <w:r w:rsidR="008A6380">
        <w:rPr>
          <w:rFonts w:cs="Times New Roman"/>
          <w:sz w:val="24"/>
          <w:szCs w:val="24"/>
        </w:rPr>
        <w:t>– E</w:t>
      </w:r>
      <w:r w:rsidR="00DF5C95">
        <w:rPr>
          <w:rFonts w:cs="Times New Roman"/>
          <w:sz w:val="24"/>
          <w:szCs w:val="24"/>
        </w:rPr>
        <w:t xml:space="preserve">ine zentrale Aussage </w:t>
      </w:r>
      <w:r w:rsidR="008A6380">
        <w:rPr>
          <w:rFonts w:cs="Times New Roman"/>
          <w:sz w:val="24"/>
          <w:szCs w:val="24"/>
        </w:rPr>
        <w:t>des „Produzenten“ berührt das Problem</w:t>
      </w:r>
      <w:r w:rsidR="00DF5C95">
        <w:rPr>
          <w:rFonts w:cs="Times New Roman"/>
          <w:sz w:val="24"/>
          <w:szCs w:val="24"/>
        </w:rPr>
        <w:t xml:space="preserve">, </w:t>
      </w:r>
      <w:r w:rsidR="006B3F34">
        <w:rPr>
          <w:rFonts w:cs="Times New Roman"/>
          <w:sz w:val="24"/>
          <w:szCs w:val="24"/>
        </w:rPr>
        <w:t xml:space="preserve">dass das musikalische Material </w:t>
      </w:r>
      <w:r w:rsidR="001C3298">
        <w:rPr>
          <w:rFonts w:cs="Times New Roman"/>
          <w:sz w:val="24"/>
          <w:szCs w:val="24"/>
        </w:rPr>
        <w:t>„</w:t>
      </w:r>
      <w:r w:rsidR="006B3F34">
        <w:rPr>
          <w:rFonts w:cs="Times New Roman"/>
          <w:sz w:val="24"/>
          <w:szCs w:val="24"/>
        </w:rPr>
        <w:t>nirgendwo in der Geschichte statisch</w:t>
      </w:r>
      <w:r w:rsidR="001C3298">
        <w:rPr>
          <w:rFonts w:cs="Times New Roman"/>
          <w:sz w:val="24"/>
          <w:szCs w:val="24"/>
        </w:rPr>
        <w:t>“</w:t>
      </w:r>
      <w:r w:rsidR="00DF5C95">
        <w:rPr>
          <w:rFonts w:cs="Times New Roman"/>
          <w:sz w:val="24"/>
          <w:szCs w:val="24"/>
        </w:rPr>
        <w:t xml:space="preserve"> </w:t>
      </w:r>
      <w:r w:rsidR="008A6380">
        <w:rPr>
          <w:rFonts w:cs="Times New Roman"/>
          <w:sz w:val="24"/>
          <w:szCs w:val="24"/>
        </w:rPr>
        <w:t>ist</w:t>
      </w:r>
      <w:r w:rsidR="006B3F34">
        <w:rPr>
          <w:rFonts w:cs="Times New Roman"/>
          <w:sz w:val="24"/>
          <w:szCs w:val="24"/>
        </w:rPr>
        <w:t xml:space="preserve">, sondern überall </w:t>
      </w:r>
      <w:r w:rsidR="001C3298">
        <w:rPr>
          <w:rFonts w:cs="Times New Roman"/>
          <w:sz w:val="24"/>
          <w:szCs w:val="24"/>
        </w:rPr>
        <w:t>„in</w:t>
      </w:r>
      <w:r w:rsidR="006B3F34" w:rsidRPr="001C3298">
        <w:rPr>
          <w:rFonts w:cs="Times New Roman"/>
          <w:sz w:val="24"/>
          <w:szCs w:val="24"/>
        </w:rPr>
        <w:t xml:space="preserve"> eine</w:t>
      </w:r>
      <w:r w:rsidR="001C3298">
        <w:rPr>
          <w:rFonts w:cs="Times New Roman"/>
          <w:sz w:val="24"/>
          <w:szCs w:val="24"/>
        </w:rPr>
        <w:t>m</w:t>
      </w:r>
      <w:r w:rsidR="006B3F34" w:rsidRPr="001C3298">
        <w:rPr>
          <w:rFonts w:cs="Times New Roman"/>
          <w:sz w:val="24"/>
          <w:szCs w:val="24"/>
        </w:rPr>
        <w:t xml:space="preserve"> nicht abreißenden</w:t>
      </w:r>
      <w:r w:rsidR="006B3F34" w:rsidRPr="006B3F34">
        <w:rPr>
          <w:rFonts w:cs="Times New Roman"/>
          <w:i/>
          <w:sz w:val="24"/>
          <w:szCs w:val="24"/>
        </w:rPr>
        <w:t xml:space="preserve"> </w:t>
      </w:r>
      <w:r w:rsidR="006B3F34" w:rsidRPr="001C3298">
        <w:rPr>
          <w:rFonts w:cs="Times New Roman"/>
          <w:sz w:val="24"/>
          <w:szCs w:val="24"/>
        </w:rPr>
        <w:t xml:space="preserve">historischen </w:t>
      </w:r>
      <w:proofErr w:type="spellStart"/>
      <w:r w:rsidR="006B3F34" w:rsidRPr="001C3298">
        <w:rPr>
          <w:rFonts w:cs="Times New Roman"/>
          <w:sz w:val="24"/>
          <w:szCs w:val="24"/>
        </w:rPr>
        <w:t>Proze</w:t>
      </w:r>
      <w:r w:rsidR="001C3298">
        <w:rPr>
          <w:rFonts w:cs="Times New Roman"/>
          <w:sz w:val="24"/>
          <w:szCs w:val="24"/>
        </w:rPr>
        <w:t>ß</w:t>
      </w:r>
      <w:proofErr w:type="spellEnd"/>
      <w:r w:rsidR="001C3298">
        <w:rPr>
          <w:rFonts w:cs="Times New Roman"/>
          <w:sz w:val="24"/>
          <w:szCs w:val="24"/>
        </w:rPr>
        <w:t>“ steht</w:t>
      </w:r>
      <w:r w:rsidR="006B3F34">
        <w:rPr>
          <w:rFonts w:cs="Times New Roman"/>
          <w:sz w:val="24"/>
          <w:szCs w:val="24"/>
        </w:rPr>
        <w:t>.</w:t>
      </w:r>
      <w:r w:rsidR="001C3298">
        <w:rPr>
          <w:rStyle w:val="Funotenzeichen"/>
          <w:rFonts w:cs="Times New Roman"/>
          <w:sz w:val="24"/>
          <w:szCs w:val="24"/>
        </w:rPr>
        <w:footnoteReference w:id="13"/>
      </w:r>
      <w:r w:rsidR="00DF5C95">
        <w:rPr>
          <w:rFonts w:cs="Times New Roman"/>
          <w:sz w:val="24"/>
          <w:szCs w:val="24"/>
        </w:rPr>
        <w:t xml:space="preserve"> </w:t>
      </w:r>
      <w:r w:rsidR="008A6380">
        <w:rPr>
          <w:rFonts w:cs="Times New Roman"/>
          <w:sz w:val="24"/>
          <w:szCs w:val="24"/>
        </w:rPr>
        <w:t>Bei sachgemäßer Erörterung musikgeschichtlicher Fakten müssten daher die Beteiligten auch den</w:t>
      </w:r>
      <w:r w:rsidR="00DF5C95">
        <w:rPr>
          <w:rFonts w:cs="Times New Roman"/>
          <w:sz w:val="24"/>
          <w:szCs w:val="24"/>
        </w:rPr>
        <w:t xml:space="preserve"> historischen Kontext</w:t>
      </w:r>
      <w:r w:rsidR="00905735">
        <w:rPr>
          <w:rFonts w:cs="Times New Roman"/>
          <w:sz w:val="24"/>
          <w:szCs w:val="24"/>
        </w:rPr>
        <w:t xml:space="preserve">, in dem </w:t>
      </w:r>
      <w:r w:rsidR="00AB22CA">
        <w:rPr>
          <w:rFonts w:cs="Times New Roman"/>
          <w:sz w:val="24"/>
          <w:szCs w:val="24"/>
        </w:rPr>
        <w:t xml:space="preserve">sich </w:t>
      </w:r>
      <w:r w:rsidR="008A6380">
        <w:rPr>
          <w:rFonts w:cs="Times New Roman"/>
          <w:sz w:val="24"/>
          <w:szCs w:val="24"/>
        </w:rPr>
        <w:t>die</w:t>
      </w:r>
      <w:r w:rsidR="00905735">
        <w:rPr>
          <w:rFonts w:cs="Times New Roman"/>
          <w:sz w:val="24"/>
          <w:szCs w:val="24"/>
        </w:rPr>
        <w:t xml:space="preserve"> </w:t>
      </w:r>
      <w:r w:rsidR="00DF5C95">
        <w:rPr>
          <w:rFonts w:cs="Times New Roman"/>
          <w:sz w:val="24"/>
          <w:szCs w:val="24"/>
        </w:rPr>
        <w:t xml:space="preserve">Formsprache </w:t>
      </w:r>
      <w:r w:rsidR="008A6380">
        <w:rPr>
          <w:rFonts w:cs="Times New Roman"/>
          <w:sz w:val="24"/>
          <w:szCs w:val="24"/>
        </w:rPr>
        <w:t>entwickelt ha</w:t>
      </w:r>
      <w:r w:rsidR="00905735">
        <w:rPr>
          <w:rFonts w:cs="Times New Roman"/>
          <w:sz w:val="24"/>
          <w:szCs w:val="24"/>
        </w:rPr>
        <w:t xml:space="preserve">t, </w:t>
      </w:r>
      <w:r w:rsidR="00DF5C95">
        <w:rPr>
          <w:rFonts w:cs="Times New Roman"/>
          <w:sz w:val="24"/>
          <w:szCs w:val="24"/>
        </w:rPr>
        <w:t>im Auge behalten</w:t>
      </w:r>
      <w:r w:rsidR="008A6380">
        <w:rPr>
          <w:rFonts w:cs="Times New Roman"/>
          <w:sz w:val="24"/>
          <w:szCs w:val="24"/>
        </w:rPr>
        <w:t>. Wechselt dieser Kontext, ist auch die Funktion der Formsprache eine völlig andere</w:t>
      </w:r>
      <w:r w:rsidR="006B3F34">
        <w:rPr>
          <w:rFonts w:cs="Times New Roman"/>
          <w:sz w:val="24"/>
          <w:szCs w:val="24"/>
        </w:rPr>
        <w:t>:</w:t>
      </w:r>
    </w:p>
    <w:p w:rsidR="00E27CB3" w:rsidRDefault="006B3F34" w:rsidP="00D953F7">
      <w:pPr>
        <w:spacing w:after="0"/>
        <w:ind w:left="1134"/>
        <w:rPr>
          <w:rFonts w:cs="Times New Roman"/>
          <w:sz w:val="24"/>
          <w:szCs w:val="24"/>
        </w:rPr>
      </w:pPr>
      <w:r>
        <w:rPr>
          <w:rFonts w:cs="Times New Roman"/>
          <w:sz w:val="24"/>
          <w:szCs w:val="24"/>
        </w:rPr>
        <w:t>„Klänge und Formen, wie sie Beethoven brachte, waren vor zweihundert Jahren gesellschaftlich nicht erreichbar.</w:t>
      </w:r>
      <w:r w:rsidR="00DF5C95">
        <w:rPr>
          <w:rFonts w:cs="Times New Roman"/>
          <w:sz w:val="24"/>
          <w:szCs w:val="24"/>
        </w:rPr>
        <w:t xml:space="preserve"> Andererseits aber sind gewisse Kunstmittel Beethovens, wie zum Beispiel der verminderte </w:t>
      </w:r>
      <w:proofErr w:type="spellStart"/>
      <w:r w:rsidR="00DF5C95">
        <w:rPr>
          <w:rFonts w:cs="Times New Roman"/>
          <w:sz w:val="24"/>
          <w:szCs w:val="24"/>
        </w:rPr>
        <w:t>Septimakkord</w:t>
      </w:r>
      <w:proofErr w:type="spellEnd"/>
      <w:r w:rsidR="00DF5C95">
        <w:rPr>
          <w:rFonts w:cs="Times New Roman"/>
          <w:sz w:val="24"/>
          <w:szCs w:val="24"/>
        </w:rPr>
        <w:t>, die neapolitanische Se</w:t>
      </w:r>
      <w:r w:rsidR="00016663">
        <w:rPr>
          <w:rFonts w:cs="Times New Roman"/>
          <w:sz w:val="24"/>
          <w:szCs w:val="24"/>
        </w:rPr>
        <w:t>x</w:t>
      </w:r>
      <w:r w:rsidR="00DF5C95">
        <w:rPr>
          <w:rFonts w:cs="Times New Roman"/>
          <w:sz w:val="24"/>
          <w:szCs w:val="24"/>
        </w:rPr>
        <w:t xml:space="preserve">t, durch Abnützung gesellschaftlich dermaßen verbraucht, </w:t>
      </w:r>
      <w:proofErr w:type="spellStart"/>
      <w:r w:rsidR="00DF5C95">
        <w:rPr>
          <w:rFonts w:cs="Times New Roman"/>
          <w:sz w:val="24"/>
          <w:szCs w:val="24"/>
        </w:rPr>
        <w:t>daß</w:t>
      </w:r>
      <w:proofErr w:type="spellEnd"/>
      <w:r w:rsidR="00DF5C95">
        <w:rPr>
          <w:rFonts w:cs="Times New Roman"/>
          <w:sz w:val="24"/>
          <w:szCs w:val="24"/>
        </w:rPr>
        <w:t xml:space="preserve"> sie heute nur noch in der leichten </w:t>
      </w:r>
      <w:r w:rsidR="00016663">
        <w:rPr>
          <w:rFonts w:cs="Times New Roman"/>
          <w:sz w:val="24"/>
          <w:szCs w:val="24"/>
        </w:rPr>
        <w:t>U</w:t>
      </w:r>
      <w:r w:rsidR="00DF5C95">
        <w:rPr>
          <w:rFonts w:cs="Times New Roman"/>
          <w:sz w:val="24"/>
          <w:szCs w:val="24"/>
        </w:rPr>
        <w:t>nterhaltun</w:t>
      </w:r>
      <w:r w:rsidR="00016663">
        <w:rPr>
          <w:rFonts w:cs="Times New Roman"/>
          <w:sz w:val="24"/>
          <w:szCs w:val="24"/>
        </w:rPr>
        <w:t>gsmusik auftauchen.</w:t>
      </w:r>
      <w:r>
        <w:rPr>
          <w:rFonts w:cs="Times New Roman"/>
          <w:sz w:val="24"/>
          <w:szCs w:val="24"/>
        </w:rPr>
        <w:t>“</w:t>
      </w:r>
      <w:r>
        <w:rPr>
          <w:rStyle w:val="Funotenzeichen"/>
          <w:rFonts w:cs="Times New Roman"/>
          <w:sz w:val="24"/>
          <w:szCs w:val="24"/>
        </w:rPr>
        <w:footnoteReference w:id="14"/>
      </w:r>
      <w:r w:rsidR="009C0CF3">
        <w:rPr>
          <w:rFonts w:cs="Times New Roman"/>
          <w:sz w:val="24"/>
          <w:szCs w:val="24"/>
        </w:rPr>
        <w:t xml:space="preserve"> </w:t>
      </w:r>
    </w:p>
    <w:p w:rsidR="00D953F7" w:rsidRDefault="00016663" w:rsidP="007E4E35">
      <w:pPr>
        <w:spacing w:after="0"/>
        <w:rPr>
          <w:rFonts w:cs="Times New Roman"/>
          <w:sz w:val="24"/>
          <w:szCs w:val="24"/>
        </w:rPr>
      </w:pPr>
      <w:r>
        <w:rPr>
          <w:rFonts w:cs="Times New Roman"/>
          <w:sz w:val="24"/>
          <w:szCs w:val="24"/>
        </w:rPr>
        <w:t>Daraus ergeben sich für die Beurteilung der Formsprache wichtige Folgerungen:</w:t>
      </w:r>
    </w:p>
    <w:p w:rsidR="00D953F7" w:rsidRDefault="009C0CF3" w:rsidP="00D953F7">
      <w:pPr>
        <w:spacing w:after="0"/>
        <w:ind w:left="1134"/>
        <w:rPr>
          <w:rFonts w:cs="Times New Roman"/>
          <w:sz w:val="24"/>
          <w:szCs w:val="24"/>
        </w:rPr>
      </w:pPr>
      <w:r>
        <w:rPr>
          <w:rFonts w:cs="Times New Roman"/>
          <w:sz w:val="24"/>
          <w:szCs w:val="24"/>
        </w:rPr>
        <w:t xml:space="preserve">„Was bei Beethoven Ausdruck des höchsten Schmerzes war, erscheint bei </w:t>
      </w:r>
      <w:proofErr w:type="spellStart"/>
      <w:r>
        <w:rPr>
          <w:rFonts w:cs="Times New Roman"/>
          <w:sz w:val="24"/>
          <w:szCs w:val="24"/>
        </w:rPr>
        <w:t>Lehár</w:t>
      </w:r>
      <w:proofErr w:type="spellEnd"/>
      <w:r>
        <w:rPr>
          <w:rFonts w:cs="Times New Roman"/>
          <w:sz w:val="24"/>
          <w:szCs w:val="24"/>
        </w:rPr>
        <w:t xml:space="preserve"> als – ebensolcher.“</w:t>
      </w:r>
      <w:r>
        <w:rPr>
          <w:rStyle w:val="Funotenzeichen"/>
          <w:rFonts w:cs="Times New Roman"/>
          <w:sz w:val="24"/>
          <w:szCs w:val="24"/>
        </w:rPr>
        <w:footnoteReference w:id="15"/>
      </w:r>
      <w:r>
        <w:rPr>
          <w:rFonts w:cs="Times New Roman"/>
          <w:sz w:val="24"/>
          <w:szCs w:val="24"/>
        </w:rPr>
        <w:t xml:space="preserve"> </w:t>
      </w:r>
    </w:p>
    <w:p w:rsidR="00A60FE6" w:rsidRDefault="00016663" w:rsidP="007E4E35">
      <w:pPr>
        <w:spacing w:after="0"/>
        <w:rPr>
          <w:rFonts w:cs="Times New Roman"/>
          <w:sz w:val="24"/>
          <w:szCs w:val="24"/>
        </w:rPr>
      </w:pPr>
      <w:r>
        <w:rPr>
          <w:rFonts w:cs="Times New Roman"/>
          <w:sz w:val="24"/>
          <w:szCs w:val="24"/>
        </w:rPr>
        <w:t xml:space="preserve">Mit aller Deutlichkeit wird damit gesagt, dass – anders als Lukács argumentiert – es aus musikgeschichtlicher Perspektive unsinnig ist, die Formsprache als </w:t>
      </w:r>
      <w:r w:rsidRPr="008A6380">
        <w:rPr>
          <w:rFonts w:cs="Times New Roman"/>
          <w:i/>
          <w:sz w:val="24"/>
          <w:szCs w:val="24"/>
        </w:rPr>
        <w:t>übergeschichtlichen</w:t>
      </w:r>
      <w:r>
        <w:rPr>
          <w:rFonts w:cs="Times New Roman"/>
          <w:sz w:val="24"/>
          <w:szCs w:val="24"/>
        </w:rPr>
        <w:t xml:space="preserve"> Tatbestand zu verstehen, der auch für die aktuelle künstlerische Produktion von Relevanz ist</w:t>
      </w:r>
      <w:r w:rsidR="007104AC">
        <w:rPr>
          <w:rFonts w:cs="Times New Roman"/>
          <w:sz w:val="24"/>
          <w:szCs w:val="24"/>
        </w:rPr>
        <w:t>. Vielmehr ist es erforderlich</w:t>
      </w:r>
      <w:r>
        <w:rPr>
          <w:rFonts w:cs="Times New Roman"/>
          <w:sz w:val="24"/>
          <w:szCs w:val="24"/>
        </w:rPr>
        <w:t xml:space="preserve">, dass man sich des </w:t>
      </w:r>
      <w:r w:rsidRPr="00016663">
        <w:rPr>
          <w:rFonts w:cs="Times New Roman"/>
          <w:i/>
          <w:sz w:val="24"/>
          <w:szCs w:val="24"/>
        </w:rPr>
        <w:t>Funktionswandels</w:t>
      </w:r>
      <w:r>
        <w:rPr>
          <w:rFonts w:cs="Times New Roman"/>
          <w:sz w:val="24"/>
          <w:szCs w:val="24"/>
        </w:rPr>
        <w:t>, de</w:t>
      </w:r>
      <w:r w:rsidR="007104AC">
        <w:rPr>
          <w:rFonts w:cs="Times New Roman"/>
          <w:sz w:val="24"/>
          <w:szCs w:val="24"/>
        </w:rPr>
        <w:t>m</w:t>
      </w:r>
      <w:r>
        <w:rPr>
          <w:rFonts w:cs="Times New Roman"/>
          <w:sz w:val="24"/>
          <w:szCs w:val="24"/>
        </w:rPr>
        <w:t xml:space="preserve"> die Formen im geschichtlichen Prozess unterliegen, bewusst </w:t>
      </w:r>
      <w:r w:rsidR="007104AC">
        <w:rPr>
          <w:rFonts w:cs="Times New Roman"/>
          <w:sz w:val="24"/>
          <w:szCs w:val="24"/>
        </w:rPr>
        <w:t>wird. Die „Form“ als solche ist nicht konservierbar</w:t>
      </w:r>
      <w:r w:rsidR="00A60FE6">
        <w:rPr>
          <w:rFonts w:cs="Times New Roman"/>
          <w:sz w:val="24"/>
          <w:szCs w:val="24"/>
        </w:rPr>
        <w:t>:</w:t>
      </w:r>
      <w:r>
        <w:rPr>
          <w:rFonts w:cs="Times New Roman"/>
          <w:sz w:val="24"/>
          <w:szCs w:val="24"/>
        </w:rPr>
        <w:t xml:space="preserve"> </w:t>
      </w:r>
    </w:p>
    <w:p w:rsidR="00A60FE6" w:rsidRDefault="00A60FE6" w:rsidP="00A60FE6">
      <w:pPr>
        <w:spacing w:after="0"/>
        <w:ind w:left="1134"/>
        <w:rPr>
          <w:rFonts w:cs="Times New Roman"/>
          <w:sz w:val="24"/>
          <w:szCs w:val="24"/>
        </w:rPr>
      </w:pPr>
      <w:r>
        <w:rPr>
          <w:rFonts w:cs="Times New Roman"/>
          <w:sz w:val="24"/>
          <w:szCs w:val="24"/>
        </w:rPr>
        <w:t>„Auch der so beliebte ‚schöne Klang‘, die Harmonie des 19. Jahrhunderts, ist kein statisches Phänomen, sondern ein historisches und ein in keiner Weise klassizistisch konservierbares.“</w:t>
      </w:r>
      <w:r>
        <w:rPr>
          <w:rStyle w:val="Funotenzeichen"/>
          <w:rFonts w:cs="Times New Roman"/>
          <w:sz w:val="24"/>
          <w:szCs w:val="24"/>
        </w:rPr>
        <w:footnoteReference w:id="16"/>
      </w:r>
    </w:p>
    <w:p w:rsidR="00A60FE6" w:rsidRDefault="00A60FE6" w:rsidP="007E4E35">
      <w:pPr>
        <w:spacing w:after="0"/>
        <w:rPr>
          <w:rFonts w:cs="Times New Roman"/>
          <w:sz w:val="24"/>
          <w:szCs w:val="24"/>
        </w:rPr>
      </w:pPr>
      <w:r>
        <w:rPr>
          <w:rFonts w:cs="Times New Roman"/>
          <w:sz w:val="24"/>
          <w:szCs w:val="24"/>
        </w:rPr>
        <w:t>D</w:t>
      </w:r>
      <w:r w:rsidR="009C0CF3">
        <w:rPr>
          <w:rFonts w:cs="Times New Roman"/>
          <w:sz w:val="24"/>
          <w:szCs w:val="24"/>
        </w:rPr>
        <w:t>e</w:t>
      </w:r>
      <w:r>
        <w:rPr>
          <w:rFonts w:cs="Times New Roman"/>
          <w:sz w:val="24"/>
          <w:szCs w:val="24"/>
        </w:rPr>
        <w:t xml:space="preserve">m </w:t>
      </w:r>
      <w:r w:rsidR="009C0CF3">
        <w:rPr>
          <w:rFonts w:cs="Times New Roman"/>
          <w:sz w:val="24"/>
          <w:szCs w:val="24"/>
        </w:rPr>
        <w:t>„Theoretiker</w:t>
      </w:r>
      <w:r>
        <w:rPr>
          <w:rFonts w:cs="Times New Roman"/>
          <w:sz w:val="24"/>
          <w:szCs w:val="24"/>
        </w:rPr>
        <w:t>, der sich zuweilen gar als Schulmeister aufspielt</w:t>
      </w:r>
      <w:r w:rsidR="009C0CF3">
        <w:rPr>
          <w:rFonts w:cs="Times New Roman"/>
          <w:sz w:val="24"/>
          <w:szCs w:val="24"/>
        </w:rPr>
        <w:t xml:space="preserve">“ – Lukács – </w:t>
      </w:r>
      <w:r>
        <w:rPr>
          <w:rFonts w:cs="Times New Roman"/>
          <w:sz w:val="24"/>
          <w:szCs w:val="24"/>
        </w:rPr>
        <w:t>sei deshalb „Vorsicht“ anzuraten:</w:t>
      </w:r>
    </w:p>
    <w:p w:rsidR="00A60FE6" w:rsidRPr="00E2751C" w:rsidRDefault="00A60FE6" w:rsidP="00A60FE6">
      <w:pPr>
        <w:spacing w:after="0"/>
        <w:ind w:left="1134"/>
        <w:rPr>
          <w:rFonts w:cs="Times New Roman"/>
          <w:sz w:val="24"/>
          <w:szCs w:val="24"/>
        </w:rPr>
      </w:pPr>
      <w:r w:rsidRPr="00E2751C">
        <w:rPr>
          <w:rFonts w:cs="Times New Roman"/>
          <w:sz w:val="24"/>
          <w:szCs w:val="24"/>
        </w:rPr>
        <w:t xml:space="preserve">„Der Formalismus wird nicht durch Akademismus überwunden, sondern einzig von den neuen Stoffen her, die nach einer </w:t>
      </w:r>
      <w:proofErr w:type="gramStart"/>
      <w:r w:rsidRPr="00E2751C">
        <w:rPr>
          <w:rFonts w:cs="Times New Roman"/>
          <w:sz w:val="24"/>
          <w:szCs w:val="24"/>
        </w:rPr>
        <w:t>ihr gemäßen, inhaltlich bestimmten</w:t>
      </w:r>
      <w:proofErr w:type="gramEnd"/>
      <w:r w:rsidRPr="00E2751C">
        <w:rPr>
          <w:rFonts w:cs="Times New Roman"/>
          <w:sz w:val="24"/>
          <w:szCs w:val="24"/>
        </w:rPr>
        <w:t xml:space="preserve"> Form drängen.“</w:t>
      </w:r>
      <w:r>
        <w:rPr>
          <w:rStyle w:val="Funotenzeichen"/>
          <w:rFonts w:cs="Times New Roman"/>
          <w:sz w:val="24"/>
          <w:szCs w:val="24"/>
        </w:rPr>
        <w:footnoteReference w:id="17"/>
      </w:r>
    </w:p>
    <w:p w:rsidR="00A60FE6" w:rsidRDefault="00A60FE6" w:rsidP="007E4E35">
      <w:pPr>
        <w:spacing w:after="0"/>
        <w:rPr>
          <w:rFonts w:cs="Times New Roman"/>
          <w:sz w:val="24"/>
          <w:szCs w:val="24"/>
        </w:rPr>
      </w:pPr>
      <w:r>
        <w:rPr>
          <w:rFonts w:cs="Times New Roman"/>
          <w:sz w:val="24"/>
          <w:szCs w:val="24"/>
        </w:rPr>
        <w:t>D</w:t>
      </w:r>
      <w:r w:rsidR="007104AC">
        <w:rPr>
          <w:rFonts w:cs="Times New Roman"/>
          <w:sz w:val="24"/>
          <w:szCs w:val="24"/>
        </w:rPr>
        <w:t>ieses</w:t>
      </w:r>
      <w:r>
        <w:rPr>
          <w:rFonts w:cs="Times New Roman"/>
          <w:sz w:val="24"/>
          <w:szCs w:val="24"/>
        </w:rPr>
        <w:t xml:space="preserve"> Argument nimmt der „Kunstfreund“ </w:t>
      </w:r>
      <w:r w:rsidR="0029754A">
        <w:rPr>
          <w:rFonts w:cs="Times New Roman"/>
          <w:sz w:val="24"/>
          <w:szCs w:val="24"/>
        </w:rPr>
        <w:t xml:space="preserve">seinerseits </w:t>
      </w:r>
      <w:r>
        <w:rPr>
          <w:rFonts w:cs="Times New Roman"/>
          <w:sz w:val="24"/>
          <w:szCs w:val="24"/>
        </w:rPr>
        <w:t>auf</w:t>
      </w:r>
      <w:r w:rsidR="00961747">
        <w:rPr>
          <w:rFonts w:cs="Times New Roman"/>
          <w:sz w:val="24"/>
          <w:szCs w:val="24"/>
        </w:rPr>
        <w:t xml:space="preserve">. </w:t>
      </w:r>
      <w:r w:rsidR="007104AC">
        <w:rPr>
          <w:rFonts w:cs="Times New Roman"/>
          <w:sz w:val="24"/>
          <w:szCs w:val="24"/>
        </w:rPr>
        <w:t>Er</w:t>
      </w:r>
      <w:r w:rsidR="00961747">
        <w:rPr>
          <w:rFonts w:cs="Times New Roman"/>
          <w:sz w:val="24"/>
          <w:szCs w:val="24"/>
        </w:rPr>
        <w:t xml:space="preserve"> weitet </w:t>
      </w:r>
      <w:r w:rsidR="007104AC">
        <w:rPr>
          <w:rFonts w:cs="Times New Roman"/>
          <w:sz w:val="24"/>
          <w:szCs w:val="24"/>
        </w:rPr>
        <w:t>dabei</w:t>
      </w:r>
      <w:r w:rsidR="00961747">
        <w:rPr>
          <w:rFonts w:cs="Times New Roman"/>
          <w:sz w:val="24"/>
          <w:szCs w:val="24"/>
        </w:rPr>
        <w:t xml:space="preserve"> den Blick auf </w:t>
      </w:r>
      <w:r w:rsidR="0029754A">
        <w:rPr>
          <w:rFonts w:cs="Times New Roman"/>
          <w:sz w:val="24"/>
          <w:szCs w:val="24"/>
        </w:rPr>
        <w:t>die gesamte Gruppe der „</w:t>
      </w:r>
      <w:r w:rsidR="00961747">
        <w:rPr>
          <w:rFonts w:cs="Times New Roman"/>
          <w:sz w:val="24"/>
          <w:szCs w:val="24"/>
        </w:rPr>
        <w:t>Theoretiker“</w:t>
      </w:r>
      <w:r w:rsidR="0029754A">
        <w:rPr>
          <w:rFonts w:cs="Times New Roman"/>
          <w:sz w:val="24"/>
          <w:szCs w:val="24"/>
        </w:rPr>
        <w:t xml:space="preserve"> aus</w:t>
      </w:r>
      <w:r w:rsidR="00961747">
        <w:rPr>
          <w:rFonts w:cs="Times New Roman"/>
          <w:sz w:val="24"/>
          <w:szCs w:val="24"/>
        </w:rPr>
        <w:t xml:space="preserve">, also auch auf die </w:t>
      </w:r>
      <w:r w:rsidR="007104AC">
        <w:rPr>
          <w:rFonts w:cs="Times New Roman"/>
          <w:sz w:val="24"/>
          <w:szCs w:val="24"/>
        </w:rPr>
        <w:t>übrig</w:t>
      </w:r>
      <w:r w:rsidR="00961747">
        <w:rPr>
          <w:rFonts w:cs="Times New Roman"/>
          <w:sz w:val="24"/>
          <w:szCs w:val="24"/>
        </w:rPr>
        <w:t xml:space="preserve">en Teilnehmer der </w:t>
      </w:r>
      <w:r w:rsidR="0029754A">
        <w:rPr>
          <w:rFonts w:cs="Times New Roman"/>
          <w:sz w:val="24"/>
          <w:szCs w:val="24"/>
        </w:rPr>
        <w:t>Expressionismus-</w:t>
      </w:r>
      <w:r w:rsidR="00961747">
        <w:rPr>
          <w:rFonts w:cs="Times New Roman"/>
          <w:sz w:val="24"/>
          <w:szCs w:val="24"/>
        </w:rPr>
        <w:t xml:space="preserve">Debatte: </w:t>
      </w:r>
    </w:p>
    <w:p w:rsidR="00961747" w:rsidRDefault="00961747" w:rsidP="00961747">
      <w:pPr>
        <w:spacing w:after="0"/>
        <w:ind w:left="1134"/>
        <w:rPr>
          <w:rFonts w:cs="Times New Roman"/>
          <w:sz w:val="24"/>
          <w:szCs w:val="24"/>
        </w:rPr>
      </w:pPr>
      <w:r>
        <w:rPr>
          <w:rFonts w:cs="Times New Roman"/>
          <w:sz w:val="24"/>
          <w:szCs w:val="24"/>
        </w:rPr>
        <w:lastRenderedPageBreak/>
        <w:t xml:space="preserve">„Diese Theoretiker lassen in der Gegenwart jedenfalls </w:t>
      </w:r>
      <w:proofErr w:type="spellStart"/>
      <w:r>
        <w:rPr>
          <w:rFonts w:cs="Times New Roman"/>
          <w:sz w:val="24"/>
          <w:szCs w:val="24"/>
        </w:rPr>
        <w:t>zuwenig</w:t>
      </w:r>
      <w:proofErr w:type="spellEnd"/>
      <w:r>
        <w:rPr>
          <w:rFonts w:cs="Times New Roman"/>
          <w:sz w:val="24"/>
          <w:szCs w:val="24"/>
        </w:rPr>
        <w:t xml:space="preserve"> zu, und in der Vergangenheit wählen sie, preisen sie das </w:t>
      </w:r>
      <w:r w:rsidR="009C0CF3">
        <w:rPr>
          <w:rFonts w:cs="Times New Roman"/>
          <w:sz w:val="24"/>
          <w:szCs w:val="24"/>
        </w:rPr>
        <w:t>das Klassische fast auf klassizistische Weise</w:t>
      </w:r>
      <w:r>
        <w:rPr>
          <w:rFonts w:cs="Times New Roman"/>
          <w:sz w:val="24"/>
          <w:szCs w:val="24"/>
        </w:rPr>
        <w:t>.</w:t>
      </w:r>
      <w:r w:rsidR="009C0CF3">
        <w:rPr>
          <w:rFonts w:cs="Times New Roman"/>
          <w:sz w:val="24"/>
          <w:szCs w:val="24"/>
        </w:rPr>
        <w:t>“</w:t>
      </w:r>
      <w:r>
        <w:rPr>
          <w:rStyle w:val="Funotenzeichen"/>
          <w:rFonts w:cs="Times New Roman"/>
          <w:sz w:val="24"/>
          <w:szCs w:val="24"/>
        </w:rPr>
        <w:footnoteReference w:id="18"/>
      </w:r>
    </w:p>
    <w:p w:rsidR="00D953F7" w:rsidRDefault="009C0CF3" w:rsidP="007E4E35">
      <w:pPr>
        <w:spacing w:after="0"/>
        <w:rPr>
          <w:rFonts w:cs="Times New Roman"/>
          <w:sz w:val="24"/>
          <w:szCs w:val="24"/>
        </w:rPr>
      </w:pPr>
      <w:r>
        <w:rPr>
          <w:rFonts w:cs="Times New Roman"/>
          <w:sz w:val="24"/>
          <w:szCs w:val="24"/>
        </w:rPr>
        <w:t xml:space="preserve">Die </w:t>
      </w:r>
      <w:r w:rsidR="00961747">
        <w:rPr>
          <w:rFonts w:cs="Times New Roman"/>
          <w:sz w:val="24"/>
          <w:szCs w:val="24"/>
        </w:rPr>
        <w:t>„Unkenntnis der modernen Kunst“, die sich in einem solchen Urteil manifestiere, sei nichts anderes als</w:t>
      </w:r>
      <w:r>
        <w:rPr>
          <w:rFonts w:cs="Times New Roman"/>
          <w:sz w:val="24"/>
          <w:szCs w:val="24"/>
        </w:rPr>
        <w:t xml:space="preserve"> „Voreingenommenheit“</w:t>
      </w:r>
      <w:r w:rsidR="00961747">
        <w:rPr>
          <w:rFonts w:cs="Times New Roman"/>
          <w:sz w:val="24"/>
          <w:szCs w:val="24"/>
        </w:rPr>
        <w:t xml:space="preserve"> und</w:t>
      </w:r>
      <w:r w:rsidR="00185B9D">
        <w:rPr>
          <w:rFonts w:cs="Times New Roman"/>
          <w:sz w:val="24"/>
          <w:szCs w:val="24"/>
        </w:rPr>
        <w:t xml:space="preserve"> „abstrakte Blindheit“</w:t>
      </w:r>
      <w:r w:rsidR="00961747">
        <w:rPr>
          <w:rFonts w:cs="Times New Roman"/>
          <w:sz w:val="24"/>
          <w:szCs w:val="24"/>
        </w:rPr>
        <w:t>. Sie führe</w:t>
      </w:r>
      <w:r w:rsidR="00A60FE6">
        <w:rPr>
          <w:rFonts w:cs="Times New Roman"/>
          <w:sz w:val="24"/>
          <w:szCs w:val="24"/>
        </w:rPr>
        <w:t xml:space="preserve"> zu völlig unangemessenen Wertungen</w:t>
      </w:r>
      <w:r w:rsidR="00185B9D">
        <w:rPr>
          <w:rFonts w:cs="Times New Roman"/>
          <w:sz w:val="24"/>
          <w:szCs w:val="24"/>
        </w:rPr>
        <w:t>:</w:t>
      </w:r>
    </w:p>
    <w:p w:rsidR="00D953F7" w:rsidRDefault="00185B9D" w:rsidP="00D953F7">
      <w:pPr>
        <w:spacing w:after="0"/>
        <w:ind w:left="1134"/>
        <w:rPr>
          <w:rFonts w:cs="Times New Roman"/>
          <w:sz w:val="24"/>
          <w:szCs w:val="24"/>
        </w:rPr>
      </w:pPr>
      <w:r>
        <w:rPr>
          <w:rFonts w:cs="Times New Roman"/>
          <w:sz w:val="24"/>
          <w:szCs w:val="24"/>
        </w:rPr>
        <w:t>„Alles, was in unserer Zeit geschieht, ist hier Fäulnis schlechthin, summarisch, a priori, ohne Unterschied.“</w:t>
      </w:r>
      <w:r>
        <w:rPr>
          <w:rStyle w:val="Funotenzeichen"/>
          <w:rFonts w:cs="Times New Roman"/>
          <w:sz w:val="24"/>
          <w:szCs w:val="24"/>
        </w:rPr>
        <w:footnoteReference w:id="19"/>
      </w:r>
      <w:r>
        <w:rPr>
          <w:rFonts w:cs="Times New Roman"/>
          <w:sz w:val="24"/>
          <w:szCs w:val="24"/>
        </w:rPr>
        <w:t xml:space="preserve"> </w:t>
      </w:r>
    </w:p>
    <w:p w:rsidR="00D953F7" w:rsidRDefault="000F3F1A" w:rsidP="007E4E35">
      <w:pPr>
        <w:spacing w:after="0"/>
        <w:rPr>
          <w:rFonts w:cs="Times New Roman"/>
          <w:sz w:val="24"/>
          <w:szCs w:val="24"/>
        </w:rPr>
      </w:pPr>
      <w:r>
        <w:rPr>
          <w:rFonts w:cs="Times New Roman"/>
          <w:sz w:val="24"/>
          <w:szCs w:val="24"/>
        </w:rPr>
        <w:t>Der Streitpunkt sind die atonale Musik und die Zwölftonmusik. An dieser Stelle</w:t>
      </w:r>
      <w:r w:rsidR="001E43DE">
        <w:rPr>
          <w:rFonts w:cs="Times New Roman"/>
          <w:sz w:val="24"/>
          <w:szCs w:val="24"/>
        </w:rPr>
        <w:t xml:space="preserve"> unterstützt</w:t>
      </w:r>
      <w:r w:rsidR="00185B9D">
        <w:rPr>
          <w:rFonts w:cs="Times New Roman"/>
          <w:sz w:val="24"/>
          <w:szCs w:val="24"/>
        </w:rPr>
        <w:t xml:space="preserve"> der „Kunstfreund“ </w:t>
      </w:r>
      <w:r>
        <w:rPr>
          <w:rFonts w:cs="Times New Roman"/>
          <w:sz w:val="24"/>
          <w:szCs w:val="24"/>
        </w:rPr>
        <w:t xml:space="preserve">von seiner Seite </w:t>
      </w:r>
      <w:r w:rsidR="001E43DE">
        <w:rPr>
          <w:rFonts w:cs="Times New Roman"/>
          <w:sz w:val="24"/>
          <w:szCs w:val="24"/>
        </w:rPr>
        <w:t xml:space="preserve">den „Produzenten“, indem er vehement </w:t>
      </w:r>
      <w:r w:rsidR="00185B9D">
        <w:rPr>
          <w:rFonts w:cs="Times New Roman"/>
          <w:sz w:val="24"/>
          <w:szCs w:val="24"/>
        </w:rPr>
        <w:t xml:space="preserve">für Schönberg </w:t>
      </w:r>
      <w:r w:rsidR="001E43DE">
        <w:rPr>
          <w:rFonts w:cs="Times New Roman"/>
          <w:sz w:val="24"/>
          <w:szCs w:val="24"/>
        </w:rPr>
        <w:t xml:space="preserve">und </w:t>
      </w:r>
      <w:r>
        <w:rPr>
          <w:rFonts w:cs="Times New Roman"/>
          <w:sz w:val="24"/>
          <w:szCs w:val="24"/>
        </w:rPr>
        <w:t xml:space="preserve">dessen </w:t>
      </w:r>
      <w:r w:rsidR="001E43DE">
        <w:rPr>
          <w:rFonts w:cs="Times New Roman"/>
          <w:sz w:val="24"/>
          <w:szCs w:val="24"/>
        </w:rPr>
        <w:t xml:space="preserve">Leistungen </w:t>
      </w:r>
      <w:r>
        <w:rPr>
          <w:rFonts w:cs="Times New Roman"/>
          <w:sz w:val="24"/>
          <w:szCs w:val="24"/>
        </w:rPr>
        <w:t xml:space="preserve">für die Einführung eines neuen musikalischen Stils </w:t>
      </w:r>
      <w:r w:rsidR="00185B9D">
        <w:rPr>
          <w:rFonts w:cs="Times New Roman"/>
          <w:sz w:val="24"/>
          <w:szCs w:val="24"/>
        </w:rPr>
        <w:t>ein</w:t>
      </w:r>
      <w:r w:rsidR="001E43DE">
        <w:rPr>
          <w:rFonts w:cs="Times New Roman"/>
          <w:sz w:val="24"/>
          <w:szCs w:val="24"/>
        </w:rPr>
        <w:t xml:space="preserve">tritt. Auch in „Die Kunst zu erben“ sind </w:t>
      </w:r>
      <w:r>
        <w:rPr>
          <w:rFonts w:cs="Times New Roman"/>
          <w:sz w:val="24"/>
          <w:szCs w:val="24"/>
        </w:rPr>
        <w:t xml:space="preserve">folglich </w:t>
      </w:r>
      <w:r w:rsidR="001E43DE">
        <w:rPr>
          <w:rFonts w:cs="Times New Roman"/>
          <w:sz w:val="24"/>
          <w:szCs w:val="24"/>
        </w:rPr>
        <w:t xml:space="preserve">die Positionen, von denen aus argumentiert wird, </w:t>
      </w:r>
      <w:r>
        <w:rPr>
          <w:rFonts w:cs="Times New Roman"/>
          <w:sz w:val="24"/>
          <w:szCs w:val="24"/>
        </w:rPr>
        <w:t xml:space="preserve">im Prinzip </w:t>
      </w:r>
      <w:r w:rsidR="001E43DE">
        <w:rPr>
          <w:rFonts w:cs="Times New Roman"/>
          <w:sz w:val="24"/>
          <w:szCs w:val="24"/>
        </w:rPr>
        <w:t>austauschbar</w:t>
      </w:r>
      <w:r w:rsidR="00185B9D">
        <w:rPr>
          <w:rFonts w:cs="Times New Roman"/>
          <w:sz w:val="24"/>
          <w:szCs w:val="24"/>
        </w:rPr>
        <w:t xml:space="preserve">: </w:t>
      </w:r>
    </w:p>
    <w:p w:rsidR="001602D9" w:rsidRDefault="00185B9D" w:rsidP="00D953F7">
      <w:pPr>
        <w:spacing w:after="0"/>
        <w:ind w:left="1134"/>
        <w:rPr>
          <w:rFonts w:cs="Times New Roman"/>
          <w:sz w:val="24"/>
          <w:szCs w:val="24"/>
        </w:rPr>
      </w:pPr>
      <w:r>
        <w:rPr>
          <w:rFonts w:cs="Times New Roman"/>
          <w:sz w:val="24"/>
          <w:szCs w:val="24"/>
        </w:rPr>
        <w:t xml:space="preserve">„Man nehme an Schönberg auch einmal zur Kenntnis, </w:t>
      </w:r>
      <w:proofErr w:type="spellStart"/>
      <w:r>
        <w:rPr>
          <w:rFonts w:cs="Times New Roman"/>
          <w:sz w:val="24"/>
          <w:szCs w:val="24"/>
        </w:rPr>
        <w:t>daß</w:t>
      </w:r>
      <w:proofErr w:type="spellEnd"/>
      <w:r>
        <w:rPr>
          <w:rFonts w:cs="Times New Roman"/>
          <w:sz w:val="24"/>
          <w:szCs w:val="24"/>
        </w:rPr>
        <w:t xml:space="preserve"> er nicht nur ein Fäulnisprodukt ist, sondern </w:t>
      </w:r>
      <w:proofErr w:type="spellStart"/>
      <w:r>
        <w:rPr>
          <w:rFonts w:cs="Times New Roman"/>
          <w:sz w:val="24"/>
          <w:szCs w:val="24"/>
        </w:rPr>
        <w:t>daß</w:t>
      </w:r>
      <w:proofErr w:type="spellEnd"/>
      <w:r>
        <w:rPr>
          <w:rFonts w:cs="Times New Roman"/>
          <w:sz w:val="24"/>
          <w:szCs w:val="24"/>
        </w:rPr>
        <w:t xml:space="preserve"> er durch vierzig Jahre Kampf für einen neuen Stil zu einer beispielgebenden geschichtlichen Persönlichkeit geworden ist.</w:t>
      </w:r>
      <w:r w:rsidR="00D953F7">
        <w:rPr>
          <w:rFonts w:cs="Times New Roman"/>
          <w:sz w:val="24"/>
          <w:szCs w:val="24"/>
        </w:rPr>
        <w:t>“</w:t>
      </w:r>
      <w:r w:rsidR="00D953F7">
        <w:rPr>
          <w:rStyle w:val="Funotenzeichen"/>
          <w:rFonts w:cs="Times New Roman"/>
          <w:sz w:val="24"/>
          <w:szCs w:val="24"/>
        </w:rPr>
        <w:footnoteReference w:id="20"/>
      </w:r>
    </w:p>
    <w:p w:rsidR="00431036" w:rsidRDefault="00D953F7" w:rsidP="007E4E35">
      <w:pPr>
        <w:spacing w:after="0"/>
        <w:rPr>
          <w:rFonts w:cs="Times New Roman"/>
          <w:sz w:val="24"/>
          <w:szCs w:val="24"/>
        </w:rPr>
      </w:pPr>
      <w:r>
        <w:rPr>
          <w:rFonts w:cs="Times New Roman"/>
          <w:sz w:val="24"/>
          <w:szCs w:val="24"/>
        </w:rPr>
        <w:t>Anders als für Lukács</w:t>
      </w:r>
      <w:r w:rsidR="001E43DE">
        <w:rPr>
          <w:rStyle w:val="Funotenzeichen"/>
          <w:rFonts w:cs="Times New Roman"/>
          <w:sz w:val="24"/>
          <w:szCs w:val="24"/>
        </w:rPr>
        <w:footnoteReference w:id="21"/>
      </w:r>
      <w:r>
        <w:rPr>
          <w:rFonts w:cs="Times New Roman"/>
          <w:sz w:val="24"/>
          <w:szCs w:val="24"/>
        </w:rPr>
        <w:t xml:space="preserve"> ist</w:t>
      </w:r>
      <w:r w:rsidR="006E5579">
        <w:rPr>
          <w:rFonts w:cs="Times New Roman"/>
          <w:sz w:val="24"/>
          <w:szCs w:val="24"/>
        </w:rPr>
        <w:t xml:space="preserve"> die „Erbmethode“</w:t>
      </w:r>
      <w:r w:rsidR="00431036">
        <w:rPr>
          <w:rFonts w:cs="Times New Roman"/>
          <w:sz w:val="24"/>
          <w:szCs w:val="24"/>
        </w:rPr>
        <w:t xml:space="preserve"> </w:t>
      </w:r>
      <w:r>
        <w:rPr>
          <w:rFonts w:cs="Times New Roman"/>
          <w:sz w:val="24"/>
          <w:szCs w:val="24"/>
        </w:rPr>
        <w:t>nicht durch einfache Festlegungen zu beantworten</w:t>
      </w:r>
      <w:r w:rsidR="00431036">
        <w:rPr>
          <w:rFonts w:cs="Times New Roman"/>
          <w:sz w:val="24"/>
          <w:szCs w:val="24"/>
        </w:rPr>
        <w:t xml:space="preserve">. </w:t>
      </w:r>
      <w:r>
        <w:rPr>
          <w:rFonts w:cs="Times New Roman"/>
          <w:sz w:val="24"/>
          <w:szCs w:val="24"/>
        </w:rPr>
        <w:t>Ein</w:t>
      </w:r>
      <w:r w:rsidR="00431036">
        <w:rPr>
          <w:rFonts w:cs="Times New Roman"/>
          <w:sz w:val="24"/>
          <w:szCs w:val="24"/>
        </w:rPr>
        <w:t xml:space="preserve"> differenziertes Vorgehen </w:t>
      </w:r>
      <w:r>
        <w:rPr>
          <w:rFonts w:cs="Times New Roman"/>
          <w:sz w:val="24"/>
          <w:szCs w:val="24"/>
        </w:rPr>
        <w:t xml:space="preserve">ist </w:t>
      </w:r>
      <w:r w:rsidR="00431036">
        <w:rPr>
          <w:rFonts w:cs="Times New Roman"/>
          <w:sz w:val="24"/>
          <w:szCs w:val="24"/>
        </w:rPr>
        <w:t>erforderlich:</w:t>
      </w:r>
    </w:p>
    <w:p w:rsidR="00872237" w:rsidRDefault="00872237" w:rsidP="00872237">
      <w:pPr>
        <w:spacing w:after="0"/>
        <w:ind w:left="1134"/>
        <w:rPr>
          <w:rFonts w:cs="Times New Roman"/>
          <w:sz w:val="24"/>
          <w:szCs w:val="24"/>
        </w:rPr>
      </w:pPr>
      <w:r>
        <w:rPr>
          <w:rFonts w:cs="Times New Roman"/>
          <w:sz w:val="24"/>
          <w:szCs w:val="24"/>
        </w:rPr>
        <w:t xml:space="preserve">„Der Dreiklang Haydn, Mozart, Beethoven hat sich nicht mehr wiederholt. Ein ganz anderes aber ist es, diese Erkenntnis in </w:t>
      </w:r>
      <w:proofErr w:type="spellStart"/>
      <w:r>
        <w:rPr>
          <w:rFonts w:cs="Times New Roman"/>
          <w:sz w:val="24"/>
          <w:szCs w:val="24"/>
        </w:rPr>
        <w:t>abstracto</w:t>
      </w:r>
      <w:proofErr w:type="spellEnd"/>
      <w:r>
        <w:rPr>
          <w:rFonts w:cs="Times New Roman"/>
          <w:sz w:val="24"/>
          <w:szCs w:val="24"/>
        </w:rPr>
        <w:t xml:space="preserve"> zu totalisieren; denn dann wird die Wirklichkeit nach einer puren ‚Idee‘ des historischen Materialismus </w:t>
      </w:r>
      <w:proofErr w:type="spellStart"/>
      <w:r>
        <w:rPr>
          <w:rFonts w:cs="Times New Roman"/>
          <w:sz w:val="24"/>
          <w:szCs w:val="24"/>
        </w:rPr>
        <w:t>herauskonstruiert</w:t>
      </w:r>
      <w:proofErr w:type="spellEnd"/>
      <w:r>
        <w:rPr>
          <w:rFonts w:cs="Times New Roman"/>
          <w:sz w:val="24"/>
          <w:szCs w:val="24"/>
        </w:rPr>
        <w:t xml:space="preserve">, und es entsteht, vor lauter </w:t>
      </w:r>
      <w:proofErr w:type="spellStart"/>
      <w:r>
        <w:rPr>
          <w:rFonts w:cs="Times New Roman"/>
          <w:sz w:val="24"/>
          <w:szCs w:val="24"/>
        </w:rPr>
        <w:t>Schematik</w:t>
      </w:r>
      <w:proofErr w:type="spellEnd"/>
      <w:r>
        <w:rPr>
          <w:rFonts w:cs="Times New Roman"/>
          <w:sz w:val="24"/>
          <w:szCs w:val="24"/>
        </w:rPr>
        <w:t>, bedenklicher, ja platter Idealismus.“</w:t>
      </w:r>
      <w:r>
        <w:rPr>
          <w:rStyle w:val="Funotenzeichen"/>
          <w:rFonts w:cs="Times New Roman"/>
          <w:sz w:val="24"/>
          <w:szCs w:val="24"/>
        </w:rPr>
        <w:footnoteReference w:id="22"/>
      </w:r>
    </w:p>
    <w:p w:rsidR="007E4E35" w:rsidRDefault="0029754A" w:rsidP="007E4E35">
      <w:pPr>
        <w:spacing w:after="0"/>
        <w:rPr>
          <w:rFonts w:cs="Times New Roman"/>
          <w:sz w:val="24"/>
          <w:szCs w:val="24"/>
        </w:rPr>
      </w:pPr>
      <w:r>
        <w:rPr>
          <w:rFonts w:cs="Times New Roman"/>
          <w:sz w:val="24"/>
          <w:szCs w:val="24"/>
        </w:rPr>
        <w:t xml:space="preserve">Es ist kaum ein schwerwiegenderer Vorwurf denkbar, als </w:t>
      </w:r>
      <w:r w:rsidR="00872237">
        <w:rPr>
          <w:rFonts w:cs="Times New Roman"/>
          <w:sz w:val="24"/>
          <w:szCs w:val="24"/>
        </w:rPr>
        <w:t xml:space="preserve">Lukács </w:t>
      </w:r>
      <w:r>
        <w:rPr>
          <w:rFonts w:cs="Times New Roman"/>
          <w:sz w:val="24"/>
          <w:szCs w:val="24"/>
        </w:rPr>
        <w:t>entgegenzuhalt</w:t>
      </w:r>
      <w:r w:rsidR="00872237">
        <w:rPr>
          <w:rFonts w:cs="Times New Roman"/>
          <w:sz w:val="24"/>
          <w:szCs w:val="24"/>
        </w:rPr>
        <w:t xml:space="preserve">en, er konstruiere den historischen Materialismus in </w:t>
      </w:r>
      <w:r w:rsidR="00872237">
        <w:rPr>
          <w:rFonts w:cs="Times New Roman"/>
          <w:i/>
          <w:sz w:val="24"/>
          <w:szCs w:val="24"/>
        </w:rPr>
        <w:t>Idealismus</w:t>
      </w:r>
      <w:r w:rsidR="00872237">
        <w:rPr>
          <w:rFonts w:cs="Times New Roman"/>
          <w:sz w:val="24"/>
          <w:szCs w:val="24"/>
        </w:rPr>
        <w:t xml:space="preserve"> um. </w:t>
      </w:r>
      <w:r>
        <w:rPr>
          <w:rFonts w:cs="Times New Roman"/>
          <w:sz w:val="24"/>
          <w:szCs w:val="24"/>
        </w:rPr>
        <w:t xml:space="preserve">Mit diesem Verdikt ziehen Bloch und Eisler eine strikte Trennungslinie gegenüber den Akteuren der Expressionismus-Debatte. Ihre </w:t>
      </w:r>
      <w:r w:rsidR="007E4E35" w:rsidRPr="00E2751C">
        <w:rPr>
          <w:rFonts w:cs="Times New Roman"/>
          <w:sz w:val="24"/>
          <w:szCs w:val="24"/>
        </w:rPr>
        <w:t xml:space="preserve">gemeinsame Strategie liegt auf der Hand: Sie lösen sich aus den Zwängen der marxistischen Orthodoxie, indem sie die einschlägigen, von </w:t>
      </w:r>
      <w:proofErr w:type="spellStart"/>
      <w:r w:rsidR="007E4E35" w:rsidRPr="00E2751C">
        <w:rPr>
          <w:rFonts w:cs="Times New Roman"/>
          <w:sz w:val="24"/>
          <w:szCs w:val="24"/>
        </w:rPr>
        <w:t>Kurella</w:t>
      </w:r>
      <w:proofErr w:type="spellEnd"/>
      <w:r w:rsidR="007E4E35" w:rsidRPr="00E2751C">
        <w:rPr>
          <w:rFonts w:cs="Times New Roman"/>
          <w:sz w:val="24"/>
          <w:szCs w:val="24"/>
        </w:rPr>
        <w:t xml:space="preserve">, Lukács oder Günther gebrauchten Formulierungen respektlos parodieren bzw. verfremden. </w:t>
      </w:r>
      <w:r w:rsidR="00185B9D">
        <w:rPr>
          <w:rFonts w:cs="Times New Roman"/>
          <w:sz w:val="24"/>
          <w:szCs w:val="24"/>
        </w:rPr>
        <w:t>Das</w:t>
      </w:r>
      <w:r w:rsidR="00185B9D" w:rsidRPr="00E2751C">
        <w:rPr>
          <w:rFonts w:cs="Times New Roman"/>
          <w:sz w:val="24"/>
          <w:szCs w:val="24"/>
        </w:rPr>
        <w:t xml:space="preserve"> Wort </w:t>
      </w:r>
      <w:r>
        <w:rPr>
          <w:rFonts w:cs="Times New Roman"/>
          <w:sz w:val="24"/>
          <w:szCs w:val="24"/>
        </w:rPr>
        <w:t>von der</w:t>
      </w:r>
      <w:r w:rsidR="00185B9D" w:rsidRPr="00E2751C">
        <w:rPr>
          <w:rFonts w:cs="Times New Roman"/>
          <w:sz w:val="24"/>
          <w:szCs w:val="24"/>
        </w:rPr>
        <w:t xml:space="preserve"> „Oberlehrer-Klassik“</w:t>
      </w:r>
      <w:r w:rsidR="00185B9D">
        <w:rPr>
          <w:rStyle w:val="Funotenzeichen"/>
          <w:rFonts w:cs="Times New Roman"/>
          <w:sz w:val="24"/>
          <w:szCs w:val="24"/>
        </w:rPr>
        <w:footnoteReference w:id="23"/>
      </w:r>
      <w:r w:rsidR="00185B9D" w:rsidRPr="00E2751C">
        <w:rPr>
          <w:rFonts w:cs="Times New Roman"/>
          <w:sz w:val="24"/>
          <w:szCs w:val="24"/>
        </w:rPr>
        <w:t xml:space="preserve"> </w:t>
      </w:r>
      <w:r w:rsidR="00E10AC4">
        <w:rPr>
          <w:rFonts w:cs="Times New Roman"/>
          <w:sz w:val="24"/>
          <w:szCs w:val="24"/>
        </w:rPr>
        <w:t>ist</w:t>
      </w:r>
      <w:r w:rsidR="009401AB">
        <w:rPr>
          <w:rFonts w:cs="Times New Roman"/>
          <w:sz w:val="24"/>
          <w:szCs w:val="24"/>
        </w:rPr>
        <w:t xml:space="preserve"> </w:t>
      </w:r>
      <w:r w:rsidR="00E10AC4">
        <w:rPr>
          <w:rFonts w:cs="Times New Roman"/>
          <w:sz w:val="24"/>
          <w:szCs w:val="24"/>
        </w:rPr>
        <w:t xml:space="preserve">in diesem Zusammenhang </w:t>
      </w:r>
      <w:r w:rsidR="00185B9D" w:rsidRPr="00E2751C">
        <w:rPr>
          <w:rFonts w:cs="Times New Roman"/>
          <w:sz w:val="24"/>
          <w:szCs w:val="24"/>
        </w:rPr>
        <w:t>unmi</w:t>
      </w:r>
      <w:r w:rsidR="00185B9D">
        <w:rPr>
          <w:rFonts w:cs="Times New Roman"/>
          <w:sz w:val="24"/>
          <w:szCs w:val="24"/>
        </w:rPr>
        <w:t>ss</w:t>
      </w:r>
      <w:r w:rsidR="00185B9D" w:rsidRPr="00E2751C">
        <w:rPr>
          <w:rFonts w:cs="Times New Roman"/>
          <w:sz w:val="24"/>
          <w:szCs w:val="24"/>
        </w:rPr>
        <w:t>verständlich</w:t>
      </w:r>
      <w:r w:rsidR="00E10AC4">
        <w:rPr>
          <w:rFonts w:cs="Times New Roman"/>
          <w:sz w:val="24"/>
          <w:szCs w:val="24"/>
        </w:rPr>
        <w:t>.</w:t>
      </w:r>
      <w:r w:rsidR="00185B9D" w:rsidRPr="00E2751C">
        <w:rPr>
          <w:rFonts w:cs="Times New Roman"/>
          <w:sz w:val="24"/>
          <w:szCs w:val="24"/>
        </w:rPr>
        <w:t xml:space="preserve"> </w:t>
      </w:r>
    </w:p>
    <w:p w:rsidR="00E10AC4" w:rsidRDefault="00E10AC4" w:rsidP="007E4E35">
      <w:pPr>
        <w:spacing w:after="0"/>
        <w:rPr>
          <w:rFonts w:cs="Times New Roman"/>
          <w:sz w:val="24"/>
          <w:szCs w:val="24"/>
        </w:rPr>
      </w:pPr>
    </w:p>
    <w:p w:rsidR="00F5429D" w:rsidRDefault="00F5429D" w:rsidP="007E4E35">
      <w:pPr>
        <w:spacing w:after="0"/>
        <w:rPr>
          <w:rFonts w:cs="Times New Roman"/>
          <w:b/>
          <w:sz w:val="24"/>
          <w:szCs w:val="24"/>
        </w:rPr>
      </w:pPr>
      <w:r w:rsidRPr="00F5429D">
        <w:rPr>
          <w:rFonts w:cs="Times New Roman"/>
          <w:b/>
          <w:sz w:val="24"/>
          <w:szCs w:val="24"/>
        </w:rPr>
        <w:t>„Du sitzt sehr weit von mir weg.“</w:t>
      </w:r>
    </w:p>
    <w:p w:rsidR="00F51611" w:rsidRDefault="00BF2C26" w:rsidP="007E4E35">
      <w:pPr>
        <w:spacing w:after="0"/>
        <w:rPr>
          <w:rFonts w:cs="Times New Roman"/>
          <w:sz w:val="24"/>
          <w:szCs w:val="24"/>
        </w:rPr>
      </w:pPr>
      <w:r>
        <w:rPr>
          <w:rFonts w:cs="Times New Roman"/>
          <w:sz w:val="24"/>
          <w:szCs w:val="24"/>
        </w:rPr>
        <w:t xml:space="preserve">Eine </w:t>
      </w:r>
      <w:r w:rsidR="0071242D">
        <w:rPr>
          <w:rFonts w:cs="Times New Roman"/>
          <w:sz w:val="24"/>
          <w:szCs w:val="24"/>
        </w:rPr>
        <w:t>direkt</w:t>
      </w:r>
      <w:r>
        <w:rPr>
          <w:rFonts w:cs="Times New Roman"/>
          <w:sz w:val="24"/>
          <w:szCs w:val="24"/>
        </w:rPr>
        <w:t>e Reaktion auf die</w:t>
      </w:r>
      <w:r w:rsidR="00FD7911">
        <w:rPr>
          <w:rFonts w:cs="Times New Roman"/>
          <w:sz w:val="24"/>
          <w:szCs w:val="24"/>
        </w:rPr>
        <w:t xml:space="preserve"> </w:t>
      </w:r>
      <w:r>
        <w:rPr>
          <w:rFonts w:cs="Times New Roman"/>
          <w:sz w:val="24"/>
          <w:szCs w:val="24"/>
        </w:rPr>
        <w:t xml:space="preserve">Attacken von </w:t>
      </w:r>
      <w:r w:rsidR="000739A6">
        <w:rPr>
          <w:rFonts w:cs="Times New Roman"/>
          <w:sz w:val="24"/>
          <w:szCs w:val="24"/>
        </w:rPr>
        <w:t xml:space="preserve">Bloch und Eisler </w:t>
      </w:r>
      <w:r>
        <w:rPr>
          <w:rFonts w:cs="Times New Roman"/>
          <w:sz w:val="24"/>
          <w:szCs w:val="24"/>
        </w:rPr>
        <w:t xml:space="preserve">ist </w:t>
      </w:r>
      <w:r w:rsidR="00AC0438">
        <w:rPr>
          <w:rFonts w:cs="Times New Roman"/>
          <w:sz w:val="24"/>
          <w:szCs w:val="24"/>
        </w:rPr>
        <w:t>ni</w:t>
      </w:r>
      <w:r>
        <w:rPr>
          <w:rFonts w:cs="Times New Roman"/>
          <w:sz w:val="24"/>
          <w:szCs w:val="24"/>
        </w:rPr>
        <w:t>cht bekannt, wohl aber eine indirekte</w:t>
      </w:r>
      <w:r w:rsidR="00FD7911">
        <w:rPr>
          <w:rFonts w:cs="Times New Roman"/>
          <w:sz w:val="24"/>
          <w:szCs w:val="24"/>
        </w:rPr>
        <w:t xml:space="preserve">. Am 28. Juni 1938 </w:t>
      </w:r>
      <w:r w:rsidR="000739A6">
        <w:rPr>
          <w:rFonts w:cs="Times New Roman"/>
          <w:sz w:val="24"/>
          <w:szCs w:val="24"/>
        </w:rPr>
        <w:t>richte</w:t>
      </w:r>
      <w:r w:rsidR="00FD7911">
        <w:rPr>
          <w:rFonts w:cs="Times New Roman"/>
          <w:sz w:val="24"/>
          <w:szCs w:val="24"/>
        </w:rPr>
        <w:t>t Anna Seghers</w:t>
      </w:r>
      <w:r>
        <w:rPr>
          <w:rFonts w:cs="Times New Roman"/>
          <w:sz w:val="24"/>
          <w:szCs w:val="24"/>
        </w:rPr>
        <w:t xml:space="preserve"> </w:t>
      </w:r>
      <w:r w:rsidR="00FD7911">
        <w:rPr>
          <w:rFonts w:cs="Times New Roman"/>
          <w:sz w:val="24"/>
          <w:szCs w:val="24"/>
        </w:rPr>
        <w:t xml:space="preserve">einen Brief an </w:t>
      </w:r>
      <w:r w:rsidR="00AE6134">
        <w:rPr>
          <w:rFonts w:cs="Times New Roman"/>
          <w:sz w:val="24"/>
          <w:szCs w:val="24"/>
        </w:rPr>
        <w:t xml:space="preserve">Georg </w:t>
      </w:r>
      <w:r w:rsidR="00FD7911">
        <w:rPr>
          <w:rFonts w:cs="Times New Roman"/>
          <w:sz w:val="24"/>
          <w:szCs w:val="24"/>
        </w:rPr>
        <w:t>L</w:t>
      </w:r>
      <w:r w:rsidR="000739A6">
        <w:rPr>
          <w:rFonts w:cs="Times New Roman"/>
          <w:sz w:val="24"/>
          <w:szCs w:val="24"/>
        </w:rPr>
        <w:t>ukács</w:t>
      </w:r>
      <w:r w:rsidR="00FD7911">
        <w:rPr>
          <w:rFonts w:cs="Times New Roman"/>
          <w:sz w:val="24"/>
          <w:szCs w:val="24"/>
        </w:rPr>
        <w:t xml:space="preserve">, der </w:t>
      </w:r>
      <w:r w:rsidR="00F51611">
        <w:rPr>
          <w:rFonts w:cs="Times New Roman"/>
          <w:sz w:val="24"/>
          <w:szCs w:val="24"/>
        </w:rPr>
        <w:t>zusammen Lukács</w:t>
      </w:r>
      <w:r w:rsidR="00AE6134">
        <w:rPr>
          <w:rFonts w:cs="Times New Roman"/>
          <w:sz w:val="24"/>
          <w:szCs w:val="24"/>
        </w:rPr>
        <w:t>‘</w:t>
      </w:r>
      <w:r w:rsidR="00F51611">
        <w:rPr>
          <w:rFonts w:cs="Times New Roman"/>
          <w:sz w:val="24"/>
          <w:szCs w:val="24"/>
        </w:rPr>
        <w:t xml:space="preserve"> Antwort, einem zweiten</w:t>
      </w:r>
      <w:r w:rsidR="0029056D">
        <w:rPr>
          <w:rFonts w:cs="Times New Roman"/>
          <w:sz w:val="24"/>
          <w:szCs w:val="24"/>
        </w:rPr>
        <w:t xml:space="preserve"> </w:t>
      </w:r>
      <w:r w:rsidR="00F51611">
        <w:rPr>
          <w:rFonts w:cs="Times New Roman"/>
          <w:sz w:val="24"/>
          <w:szCs w:val="24"/>
        </w:rPr>
        <w:t>Seghers-Brief</w:t>
      </w:r>
      <w:r w:rsidR="0029056D">
        <w:rPr>
          <w:rFonts w:cs="Times New Roman"/>
          <w:sz w:val="24"/>
          <w:szCs w:val="24"/>
        </w:rPr>
        <w:t xml:space="preserve"> vom Februar 1939 [!] </w:t>
      </w:r>
      <w:r w:rsidR="00F51611">
        <w:rPr>
          <w:rFonts w:cs="Times New Roman"/>
          <w:sz w:val="24"/>
          <w:szCs w:val="24"/>
        </w:rPr>
        <w:t xml:space="preserve">und Lukács‘ </w:t>
      </w:r>
      <w:r w:rsidR="00AE6134">
        <w:rPr>
          <w:rFonts w:cs="Times New Roman"/>
          <w:sz w:val="24"/>
          <w:szCs w:val="24"/>
        </w:rPr>
        <w:t xml:space="preserve">erneuter </w:t>
      </w:r>
      <w:r w:rsidR="00F51611">
        <w:rPr>
          <w:rFonts w:cs="Times New Roman"/>
          <w:sz w:val="24"/>
          <w:szCs w:val="24"/>
        </w:rPr>
        <w:t xml:space="preserve">Replik </w:t>
      </w:r>
      <w:r>
        <w:rPr>
          <w:rFonts w:cs="Times New Roman"/>
          <w:sz w:val="24"/>
          <w:szCs w:val="24"/>
        </w:rPr>
        <w:t xml:space="preserve">im April 1939 </w:t>
      </w:r>
      <w:r w:rsidR="00FD7911">
        <w:rPr>
          <w:rFonts w:cs="Times New Roman"/>
          <w:sz w:val="24"/>
          <w:szCs w:val="24"/>
        </w:rPr>
        <w:t xml:space="preserve">in der </w:t>
      </w:r>
      <w:r w:rsidR="00FD7911">
        <w:rPr>
          <w:rFonts w:cs="Times New Roman"/>
          <w:i/>
          <w:sz w:val="24"/>
          <w:szCs w:val="24"/>
        </w:rPr>
        <w:t>Internationalen Literatur</w:t>
      </w:r>
      <w:r w:rsidR="00FD7911">
        <w:rPr>
          <w:rFonts w:cs="Times New Roman"/>
          <w:sz w:val="24"/>
          <w:szCs w:val="24"/>
        </w:rPr>
        <w:t xml:space="preserve"> veröffentlicht wird</w:t>
      </w:r>
      <w:r w:rsidR="00F51611">
        <w:rPr>
          <w:rFonts w:cs="Times New Roman"/>
          <w:sz w:val="24"/>
          <w:szCs w:val="24"/>
        </w:rPr>
        <w:t>.</w:t>
      </w:r>
      <w:r w:rsidR="00F51611">
        <w:rPr>
          <w:rStyle w:val="Funotenzeichen"/>
          <w:rFonts w:cs="Times New Roman"/>
          <w:sz w:val="24"/>
          <w:szCs w:val="24"/>
        </w:rPr>
        <w:footnoteReference w:id="24"/>
      </w:r>
      <w:r w:rsidR="000F1F7E">
        <w:rPr>
          <w:rFonts w:cs="Times New Roman"/>
          <w:sz w:val="24"/>
          <w:szCs w:val="24"/>
        </w:rPr>
        <w:t xml:space="preserve"> </w:t>
      </w:r>
    </w:p>
    <w:p w:rsidR="00C8359D" w:rsidRPr="00527583" w:rsidRDefault="00AE6134" w:rsidP="00CC1947">
      <w:pPr>
        <w:spacing w:after="0"/>
        <w:rPr>
          <w:rFonts w:cs="Times New Roman"/>
          <w:sz w:val="24"/>
          <w:szCs w:val="24"/>
        </w:rPr>
      </w:pPr>
      <w:r>
        <w:rPr>
          <w:rFonts w:cs="Times New Roman"/>
          <w:sz w:val="24"/>
          <w:szCs w:val="24"/>
        </w:rPr>
        <w:lastRenderedPageBreak/>
        <w:tab/>
      </w:r>
      <w:r w:rsidR="00AC0438">
        <w:rPr>
          <w:rFonts w:cs="Times New Roman"/>
          <w:sz w:val="24"/>
          <w:szCs w:val="24"/>
        </w:rPr>
        <w:t>Die Tatsache</w:t>
      </w:r>
      <w:r w:rsidR="00E844F4">
        <w:rPr>
          <w:rFonts w:cs="Times New Roman"/>
          <w:sz w:val="24"/>
          <w:szCs w:val="24"/>
        </w:rPr>
        <w:t>, dass Anna Seghers</w:t>
      </w:r>
      <w:r>
        <w:rPr>
          <w:rFonts w:cs="Times New Roman"/>
          <w:sz w:val="24"/>
          <w:szCs w:val="24"/>
        </w:rPr>
        <w:t xml:space="preserve"> </w:t>
      </w:r>
      <w:r w:rsidR="00E844F4">
        <w:rPr>
          <w:rFonts w:cs="Times New Roman"/>
          <w:sz w:val="24"/>
          <w:szCs w:val="24"/>
        </w:rPr>
        <w:t>sich zu diese</w:t>
      </w:r>
      <w:r w:rsidR="00C8359D">
        <w:rPr>
          <w:rFonts w:cs="Times New Roman"/>
          <w:sz w:val="24"/>
          <w:szCs w:val="24"/>
        </w:rPr>
        <w:t xml:space="preserve">m späten Zeitpunkt </w:t>
      </w:r>
      <w:r w:rsidR="00CF4882">
        <w:rPr>
          <w:rFonts w:cs="Times New Roman"/>
          <w:sz w:val="24"/>
          <w:szCs w:val="24"/>
        </w:rPr>
        <w:t>noch</w:t>
      </w:r>
      <w:r w:rsidR="00527583">
        <w:rPr>
          <w:rFonts w:cs="Times New Roman"/>
          <w:sz w:val="24"/>
          <w:szCs w:val="24"/>
        </w:rPr>
        <w:t xml:space="preserve"> zu einer Intervention entschließ</w:t>
      </w:r>
      <w:r w:rsidR="00167325">
        <w:rPr>
          <w:rFonts w:cs="Times New Roman"/>
          <w:sz w:val="24"/>
          <w:szCs w:val="24"/>
        </w:rPr>
        <w:t>t</w:t>
      </w:r>
      <w:r w:rsidR="00AC0438">
        <w:rPr>
          <w:rFonts w:cs="Times New Roman"/>
          <w:sz w:val="24"/>
          <w:szCs w:val="24"/>
        </w:rPr>
        <w:t>,</w:t>
      </w:r>
      <w:r w:rsidR="00AC0438" w:rsidRPr="00AC0438">
        <w:rPr>
          <w:rFonts w:cs="Times New Roman"/>
          <w:sz w:val="24"/>
          <w:szCs w:val="24"/>
        </w:rPr>
        <w:t xml:space="preserve"> </w:t>
      </w:r>
      <w:r w:rsidR="00AC0438">
        <w:rPr>
          <w:rFonts w:cs="Times New Roman"/>
          <w:sz w:val="24"/>
          <w:szCs w:val="24"/>
        </w:rPr>
        <w:t>ist erstaunlich</w:t>
      </w:r>
      <w:r w:rsidR="00167325">
        <w:rPr>
          <w:rFonts w:cs="Times New Roman"/>
          <w:sz w:val="24"/>
          <w:szCs w:val="24"/>
        </w:rPr>
        <w:t xml:space="preserve">. </w:t>
      </w:r>
      <w:r w:rsidR="00A2756A">
        <w:rPr>
          <w:rFonts w:cs="Times New Roman"/>
          <w:sz w:val="24"/>
          <w:szCs w:val="24"/>
        </w:rPr>
        <w:t xml:space="preserve">Lukács‘ Artikel „Es geht um den Realismus“ war seinem Charakter nach ein </w:t>
      </w:r>
      <w:r w:rsidR="00A2756A" w:rsidRPr="003E6733">
        <w:rPr>
          <w:rFonts w:cs="Times New Roman"/>
          <w:i/>
          <w:sz w:val="24"/>
          <w:szCs w:val="24"/>
        </w:rPr>
        <w:t>Schlusswort</w:t>
      </w:r>
      <w:r w:rsidR="00527583">
        <w:rPr>
          <w:rFonts w:cs="Times New Roman"/>
          <w:sz w:val="24"/>
          <w:szCs w:val="24"/>
        </w:rPr>
        <w:t>.</w:t>
      </w:r>
      <w:r w:rsidR="00AC0438">
        <w:rPr>
          <w:rStyle w:val="Funotenzeichen"/>
          <w:rFonts w:cs="Times New Roman"/>
          <w:sz w:val="24"/>
          <w:szCs w:val="24"/>
        </w:rPr>
        <w:footnoteReference w:id="25"/>
      </w:r>
      <w:r w:rsidR="00A2756A">
        <w:rPr>
          <w:rFonts w:cs="Times New Roman"/>
          <w:sz w:val="24"/>
          <w:szCs w:val="24"/>
        </w:rPr>
        <w:t xml:space="preserve"> </w:t>
      </w:r>
      <w:r w:rsidR="00AB22CA">
        <w:rPr>
          <w:rFonts w:cs="Times New Roman"/>
          <w:sz w:val="24"/>
          <w:szCs w:val="24"/>
        </w:rPr>
        <w:t>Es war Anna Seghers mit Sicherheit bewusst, d</w:t>
      </w:r>
      <w:r w:rsidR="00C8359D">
        <w:rPr>
          <w:rFonts w:cs="Times New Roman"/>
          <w:sz w:val="24"/>
          <w:szCs w:val="24"/>
        </w:rPr>
        <w:t xml:space="preserve">ass </w:t>
      </w:r>
      <w:r w:rsidR="00A2756A">
        <w:rPr>
          <w:rFonts w:cs="Times New Roman"/>
          <w:sz w:val="24"/>
          <w:szCs w:val="24"/>
        </w:rPr>
        <w:t>d</w:t>
      </w:r>
      <w:r w:rsidR="00C8359D">
        <w:rPr>
          <w:rFonts w:cs="Times New Roman"/>
          <w:sz w:val="24"/>
          <w:szCs w:val="24"/>
        </w:rPr>
        <w:t xml:space="preserve">ie Position, die </w:t>
      </w:r>
      <w:r w:rsidR="0002776F">
        <w:rPr>
          <w:rFonts w:cs="Times New Roman"/>
          <w:sz w:val="24"/>
          <w:szCs w:val="24"/>
        </w:rPr>
        <w:t>Lukács</w:t>
      </w:r>
      <w:r w:rsidR="00C8359D">
        <w:rPr>
          <w:rFonts w:cs="Times New Roman"/>
          <w:sz w:val="24"/>
          <w:szCs w:val="24"/>
        </w:rPr>
        <w:t xml:space="preserve"> vertrat, </w:t>
      </w:r>
      <w:r w:rsidR="00BC7390">
        <w:rPr>
          <w:rFonts w:cs="Times New Roman"/>
          <w:sz w:val="24"/>
          <w:szCs w:val="24"/>
        </w:rPr>
        <w:t>den parteioffiziellen Standpunkt darstellte</w:t>
      </w:r>
      <w:r w:rsidR="0002776F">
        <w:rPr>
          <w:rFonts w:cs="Times New Roman"/>
          <w:sz w:val="24"/>
          <w:szCs w:val="24"/>
        </w:rPr>
        <w:t>.</w:t>
      </w:r>
      <w:r w:rsidR="00C8359D">
        <w:rPr>
          <w:rFonts w:cs="Times New Roman"/>
          <w:sz w:val="24"/>
          <w:szCs w:val="24"/>
        </w:rPr>
        <w:t xml:space="preserve"> </w:t>
      </w:r>
      <w:r w:rsidR="00AC0438">
        <w:rPr>
          <w:rFonts w:cs="Times New Roman"/>
          <w:sz w:val="24"/>
          <w:szCs w:val="24"/>
        </w:rPr>
        <w:t xml:space="preserve">Sie war inzwischen lange genug Parteimitglied, also mit der KPD und ihren Strukturen </w:t>
      </w:r>
      <w:r w:rsidR="00BC7390">
        <w:rPr>
          <w:rFonts w:cs="Times New Roman"/>
          <w:sz w:val="24"/>
          <w:szCs w:val="24"/>
        </w:rPr>
        <w:t>hinreichend</w:t>
      </w:r>
      <w:r w:rsidR="00AC0438">
        <w:rPr>
          <w:rFonts w:cs="Times New Roman"/>
          <w:sz w:val="24"/>
          <w:szCs w:val="24"/>
        </w:rPr>
        <w:t xml:space="preserve"> vertraut, u</w:t>
      </w:r>
      <w:r w:rsidR="00A2756A">
        <w:rPr>
          <w:rFonts w:cs="Times New Roman"/>
          <w:sz w:val="24"/>
          <w:szCs w:val="24"/>
        </w:rPr>
        <w:t>m d</w:t>
      </w:r>
      <w:r w:rsidR="00AC0438">
        <w:rPr>
          <w:rFonts w:cs="Times New Roman"/>
          <w:sz w:val="24"/>
          <w:szCs w:val="24"/>
        </w:rPr>
        <w:t>a</w:t>
      </w:r>
      <w:r w:rsidR="00A2756A">
        <w:rPr>
          <w:rFonts w:cs="Times New Roman"/>
          <w:sz w:val="24"/>
          <w:szCs w:val="24"/>
        </w:rPr>
        <w:t>s</w:t>
      </w:r>
      <w:r w:rsidR="00AC0438">
        <w:rPr>
          <w:rFonts w:cs="Times New Roman"/>
          <w:sz w:val="24"/>
          <w:szCs w:val="24"/>
        </w:rPr>
        <w:t xml:space="preserve"> </w:t>
      </w:r>
      <w:r w:rsidR="00A2756A">
        <w:rPr>
          <w:rFonts w:cs="Times New Roman"/>
          <w:sz w:val="24"/>
          <w:szCs w:val="24"/>
        </w:rPr>
        <w:t xml:space="preserve">zu </w:t>
      </w:r>
      <w:r w:rsidR="00AC0438">
        <w:rPr>
          <w:rFonts w:cs="Times New Roman"/>
          <w:sz w:val="24"/>
          <w:szCs w:val="24"/>
        </w:rPr>
        <w:t>wiss</w:t>
      </w:r>
      <w:r w:rsidR="00A2756A">
        <w:rPr>
          <w:rFonts w:cs="Times New Roman"/>
          <w:sz w:val="24"/>
          <w:szCs w:val="24"/>
        </w:rPr>
        <w:t>en</w:t>
      </w:r>
      <w:r w:rsidR="00C8359D">
        <w:rPr>
          <w:rFonts w:cs="Times New Roman"/>
          <w:sz w:val="24"/>
          <w:szCs w:val="24"/>
        </w:rPr>
        <w:t>.</w:t>
      </w:r>
      <w:r w:rsidR="00BC7390">
        <w:rPr>
          <w:rStyle w:val="Funotenzeichen"/>
          <w:rFonts w:cs="Times New Roman"/>
          <w:sz w:val="24"/>
          <w:szCs w:val="24"/>
        </w:rPr>
        <w:footnoteReference w:id="26"/>
      </w:r>
      <w:r w:rsidR="00C8359D">
        <w:rPr>
          <w:rFonts w:cs="Times New Roman"/>
          <w:sz w:val="24"/>
          <w:szCs w:val="24"/>
        </w:rPr>
        <w:t xml:space="preserve"> </w:t>
      </w:r>
      <w:r w:rsidR="0002776F" w:rsidRPr="00AC0438">
        <w:rPr>
          <w:rFonts w:cs="Times New Roman"/>
          <w:sz w:val="24"/>
          <w:szCs w:val="24"/>
        </w:rPr>
        <w:t>I</w:t>
      </w:r>
      <w:r w:rsidR="00167325" w:rsidRPr="00AC0438">
        <w:rPr>
          <w:rFonts w:cs="Times New Roman"/>
          <w:sz w:val="24"/>
          <w:szCs w:val="24"/>
        </w:rPr>
        <w:t xml:space="preserve">hre Intervention </w:t>
      </w:r>
      <w:r w:rsidR="0002776F" w:rsidRPr="00AC0438">
        <w:rPr>
          <w:rFonts w:cs="Times New Roman"/>
          <w:sz w:val="24"/>
          <w:szCs w:val="24"/>
        </w:rPr>
        <w:t>konnte</w:t>
      </w:r>
      <w:r w:rsidR="00C8359D" w:rsidRPr="00AC0438">
        <w:rPr>
          <w:rFonts w:cs="Times New Roman"/>
          <w:sz w:val="24"/>
          <w:szCs w:val="24"/>
        </w:rPr>
        <w:t xml:space="preserve"> </w:t>
      </w:r>
      <w:r w:rsidR="00527583" w:rsidRPr="00AC0438">
        <w:rPr>
          <w:rFonts w:cs="Times New Roman"/>
          <w:sz w:val="24"/>
          <w:szCs w:val="24"/>
        </w:rPr>
        <w:t xml:space="preserve">also </w:t>
      </w:r>
      <w:r w:rsidR="00167325" w:rsidRPr="00AC0438">
        <w:rPr>
          <w:rFonts w:cs="Times New Roman"/>
          <w:sz w:val="24"/>
          <w:szCs w:val="24"/>
        </w:rPr>
        <w:t>nur einen Zweck haben</w:t>
      </w:r>
      <w:r w:rsidR="0002776F" w:rsidRPr="00AC0438">
        <w:rPr>
          <w:rFonts w:cs="Times New Roman"/>
          <w:sz w:val="24"/>
          <w:szCs w:val="24"/>
        </w:rPr>
        <w:t>:</w:t>
      </w:r>
      <w:r w:rsidR="00167325" w:rsidRPr="00AC0438">
        <w:rPr>
          <w:rFonts w:cs="Times New Roman"/>
          <w:sz w:val="24"/>
          <w:szCs w:val="24"/>
        </w:rPr>
        <w:t xml:space="preserve"> den Schaden</w:t>
      </w:r>
      <w:r w:rsidR="00BC7390" w:rsidRPr="00BC7390">
        <w:rPr>
          <w:rFonts w:cs="Times New Roman"/>
          <w:sz w:val="24"/>
          <w:szCs w:val="24"/>
        </w:rPr>
        <w:t xml:space="preserve"> </w:t>
      </w:r>
      <w:r w:rsidR="00BC7390" w:rsidRPr="00AC0438">
        <w:rPr>
          <w:rFonts w:cs="Times New Roman"/>
          <w:sz w:val="24"/>
          <w:szCs w:val="24"/>
        </w:rPr>
        <w:t>zu begrenzen</w:t>
      </w:r>
      <w:r w:rsidR="00167325" w:rsidRPr="00AC0438">
        <w:rPr>
          <w:rFonts w:cs="Times New Roman"/>
          <w:sz w:val="24"/>
          <w:szCs w:val="24"/>
        </w:rPr>
        <w:t xml:space="preserve">, der </w:t>
      </w:r>
      <w:r w:rsidR="00CD3F17">
        <w:rPr>
          <w:rFonts w:cs="Times New Roman"/>
          <w:sz w:val="24"/>
          <w:szCs w:val="24"/>
        </w:rPr>
        <w:t>durch den engstirnigen, doktrinären Charakter der Debatte</w:t>
      </w:r>
      <w:r w:rsidR="00BC7390">
        <w:rPr>
          <w:rFonts w:cs="Times New Roman"/>
          <w:sz w:val="24"/>
          <w:szCs w:val="24"/>
        </w:rPr>
        <w:t xml:space="preserve"> </w:t>
      </w:r>
      <w:r w:rsidR="00CF4882" w:rsidRPr="004C6ECD">
        <w:rPr>
          <w:rFonts w:cs="Times New Roman"/>
          <w:i/>
          <w:sz w:val="24"/>
          <w:szCs w:val="24"/>
        </w:rPr>
        <w:t xml:space="preserve">– </w:t>
      </w:r>
      <w:r w:rsidR="00CF4882" w:rsidRPr="004C6ECD">
        <w:rPr>
          <w:rFonts w:cs="Times New Roman"/>
          <w:sz w:val="24"/>
          <w:szCs w:val="24"/>
        </w:rPr>
        <w:t>deutlich erkennbar an de</w:t>
      </w:r>
      <w:r w:rsidR="00BC7390">
        <w:rPr>
          <w:rFonts w:cs="Times New Roman"/>
          <w:sz w:val="24"/>
          <w:szCs w:val="24"/>
        </w:rPr>
        <w:t xml:space="preserve">r </w:t>
      </w:r>
      <w:r w:rsidR="0071242D">
        <w:rPr>
          <w:rFonts w:cs="Times New Roman"/>
          <w:sz w:val="24"/>
          <w:szCs w:val="24"/>
        </w:rPr>
        <w:t>rabiaten Form</w:t>
      </w:r>
      <w:r w:rsidR="00BC7390">
        <w:rPr>
          <w:rFonts w:cs="Times New Roman"/>
          <w:sz w:val="24"/>
          <w:szCs w:val="24"/>
        </w:rPr>
        <w:t xml:space="preserve">, in der </w:t>
      </w:r>
      <w:r w:rsidR="00BC7390" w:rsidRPr="004C6ECD">
        <w:rPr>
          <w:rFonts w:cs="Times New Roman"/>
          <w:sz w:val="24"/>
          <w:szCs w:val="24"/>
        </w:rPr>
        <w:t xml:space="preserve">Bloch und Eisler </w:t>
      </w:r>
      <w:r w:rsidR="00CF4882" w:rsidRPr="004C6ECD">
        <w:rPr>
          <w:rFonts w:cs="Times New Roman"/>
          <w:sz w:val="24"/>
          <w:szCs w:val="24"/>
        </w:rPr>
        <w:t xml:space="preserve">Beiträgen </w:t>
      </w:r>
      <w:r w:rsidR="00BC7390">
        <w:rPr>
          <w:rFonts w:cs="Times New Roman"/>
          <w:sz w:val="24"/>
          <w:szCs w:val="24"/>
        </w:rPr>
        <w:t xml:space="preserve">ihren Einspruch artikuliert hatten </w:t>
      </w:r>
      <w:r w:rsidR="00CF4882" w:rsidRPr="00AC0438">
        <w:rPr>
          <w:rFonts w:cs="Times New Roman"/>
          <w:sz w:val="24"/>
          <w:szCs w:val="24"/>
        </w:rPr>
        <w:t>–</w:t>
      </w:r>
      <w:r w:rsidR="00BC7390" w:rsidRPr="00BC7390">
        <w:rPr>
          <w:rFonts w:cs="Times New Roman"/>
          <w:sz w:val="24"/>
          <w:szCs w:val="24"/>
        </w:rPr>
        <w:t xml:space="preserve"> </w:t>
      </w:r>
      <w:r w:rsidR="00BC7390" w:rsidRPr="00AC0438">
        <w:rPr>
          <w:rFonts w:cs="Times New Roman"/>
          <w:sz w:val="24"/>
          <w:szCs w:val="24"/>
        </w:rPr>
        <w:t>eingetreten war</w:t>
      </w:r>
      <w:r w:rsidR="00167325" w:rsidRPr="004C6ECD">
        <w:rPr>
          <w:rFonts w:cs="Times New Roman"/>
          <w:i/>
          <w:sz w:val="24"/>
          <w:szCs w:val="24"/>
        </w:rPr>
        <w:t>.</w:t>
      </w:r>
      <w:r w:rsidR="006A29CC">
        <w:rPr>
          <w:rStyle w:val="Funotenzeichen"/>
          <w:rFonts w:cs="Times New Roman"/>
          <w:sz w:val="24"/>
          <w:szCs w:val="24"/>
        </w:rPr>
        <w:footnoteReference w:id="27"/>
      </w:r>
      <w:r w:rsidR="00167325">
        <w:rPr>
          <w:rFonts w:cs="Times New Roman"/>
          <w:sz w:val="24"/>
          <w:szCs w:val="24"/>
        </w:rPr>
        <w:t xml:space="preserve"> </w:t>
      </w:r>
      <w:r w:rsidR="00527583">
        <w:rPr>
          <w:rFonts w:cs="Times New Roman"/>
          <w:sz w:val="24"/>
          <w:szCs w:val="24"/>
        </w:rPr>
        <w:t xml:space="preserve">– In Moskau </w:t>
      </w:r>
      <w:r w:rsidR="00CF4882">
        <w:rPr>
          <w:rFonts w:cs="Times New Roman"/>
          <w:sz w:val="24"/>
          <w:szCs w:val="24"/>
        </w:rPr>
        <w:t>war m</w:t>
      </w:r>
      <w:r w:rsidR="00527583">
        <w:rPr>
          <w:rFonts w:cs="Times New Roman"/>
          <w:sz w:val="24"/>
          <w:szCs w:val="24"/>
        </w:rPr>
        <w:t>an offensichtlich ander</w:t>
      </w:r>
      <w:r w:rsidR="00CF4882">
        <w:rPr>
          <w:rFonts w:cs="Times New Roman"/>
          <w:sz w:val="24"/>
          <w:szCs w:val="24"/>
        </w:rPr>
        <w:t>er Meinung</w:t>
      </w:r>
      <w:r w:rsidR="00527583">
        <w:rPr>
          <w:rFonts w:cs="Times New Roman"/>
          <w:sz w:val="24"/>
          <w:szCs w:val="24"/>
        </w:rPr>
        <w:t xml:space="preserve">. </w:t>
      </w:r>
      <w:r w:rsidR="00527583" w:rsidRPr="00AC0438">
        <w:rPr>
          <w:rFonts w:cs="Times New Roman"/>
          <w:sz w:val="24"/>
          <w:szCs w:val="24"/>
        </w:rPr>
        <w:t xml:space="preserve">Der Seghers-Brief wurde </w:t>
      </w:r>
      <w:r w:rsidR="00527583" w:rsidRPr="00CD3F17">
        <w:rPr>
          <w:rFonts w:cs="Times New Roman"/>
          <w:i/>
          <w:sz w:val="24"/>
          <w:szCs w:val="24"/>
        </w:rPr>
        <w:t xml:space="preserve">nicht </w:t>
      </w:r>
      <w:r w:rsidR="00527583" w:rsidRPr="00AC0438">
        <w:rPr>
          <w:rFonts w:cs="Times New Roman"/>
          <w:sz w:val="24"/>
          <w:szCs w:val="24"/>
        </w:rPr>
        <w:t xml:space="preserve">veröffentlicht. </w:t>
      </w:r>
      <w:r w:rsidR="00FB0BE8">
        <w:rPr>
          <w:rFonts w:cs="Times New Roman"/>
          <w:sz w:val="24"/>
          <w:szCs w:val="24"/>
        </w:rPr>
        <w:t xml:space="preserve">Ein Dreivierteljahr später, im Februar 1939, </w:t>
      </w:r>
      <w:r w:rsidR="00CF4882">
        <w:rPr>
          <w:rFonts w:cs="Times New Roman"/>
          <w:sz w:val="24"/>
          <w:szCs w:val="24"/>
        </w:rPr>
        <w:t xml:space="preserve">wurde diese </w:t>
      </w:r>
      <w:r w:rsidR="00BC7390">
        <w:rPr>
          <w:rFonts w:cs="Times New Roman"/>
          <w:sz w:val="24"/>
          <w:szCs w:val="24"/>
        </w:rPr>
        <w:t>Halt</w:t>
      </w:r>
      <w:r w:rsidR="00CF4882">
        <w:rPr>
          <w:rFonts w:cs="Times New Roman"/>
          <w:sz w:val="24"/>
          <w:szCs w:val="24"/>
        </w:rPr>
        <w:t xml:space="preserve">ung </w:t>
      </w:r>
      <w:r w:rsidR="00AC0438">
        <w:rPr>
          <w:rFonts w:cs="Times New Roman"/>
          <w:sz w:val="24"/>
          <w:szCs w:val="24"/>
        </w:rPr>
        <w:t xml:space="preserve">dann </w:t>
      </w:r>
      <w:r w:rsidR="00CF4882">
        <w:rPr>
          <w:rFonts w:cs="Times New Roman"/>
          <w:sz w:val="24"/>
          <w:szCs w:val="24"/>
        </w:rPr>
        <w:t xml:space="preserve">revidiert. </w:t>
      </w:r>
      <w:r w:rsidR="00FB0BE8">
        <w:rPr>
          <w:rFonts w:cs="Times New Roman"/>
          <w:sz w:val="24"/>
          <w:szCs w:val="24"/>
        </w:rPr>
        <w:t xml:space="preserve">Vermutlich wurde Anna Seghers </w:t>
      </w:r>
      <w:r w:rsidR="00AC0438">
        <w:rPr>
          <w:rFonts w:cs="Times New Roman"/>
          <w:sz w:val="24"/>
          <w:szCs w:val="24"/>
        </w:rPr>
        <w:t>zu diesem Zeitpunkt</w:t>
      </w:r>
      <w:r w:rsidR="00FB0BE8">
        <w:rPr>
          <w:rFonts w:cs="Times New Roman"/>
          <w:sz w:val="24"/>
          <w:szCs w:val="24"/>
        </w:rPr>
        <w:t xml:space="preserve"> </w:t>
      </w:r>
      <w:r w:rsidR="00CD3F17">
        <w:rPr>
          <w:rFonts w:cs="Times New Roman"/>
          <w:sz w:val="24"/>
          <w:szCs w:val="24"/>
        </w:rPr>
        <w:t xml:space="preserve">sogar </w:t>
      </w:r>
      <w:r w:rsidR="00FB0BE8" w:rsidRPr="00AC0438">
        <w:rPr>
          <w:rFonts w:cs="Times New Roman"/>
          <w:i/>
          <w:sz w:val="24"/>
          <w:szCs w:val="24"/>
        </w:rPr>
        <w:t>aufgefordert</w:t>
      </w:r>
      <w:r w:rsidR="00FB0BE8">
        <w:rPr>
          <w:rFonts w:cs="Times New Roman"/>
          <w:sz w:val="24"/>
          <w:szCs w:val="24"/>
        </w:rPr>
        <w:t xml:space="preserve">, die Diskussion wieder aufzunehmen. Die Zeitspanne, die zwischen Lukács‘ Antwort auf ihren ersten Brief und ihrer eigenen Replik liegt, ist </w:t>
      </w:r>
      <w:r w:rsidR="00BC7390">
        <w:rPr>
          <w:rFonts w:cs="Times New Roman"/>
          <w:sz w:val="24"/>
          <w:szCs w:val="24"/>
        </w:rPr>
        <w:t xml:space="preserve">anders </w:t>
      </w:r>
      <w:r w:rsidR="00FB0BE8">
        <w:rPr>
          <w:rFonts w:cs="Times New Roman"/>
          <w:sz w:val="24"/>
          <w:szCs w:val="24"/>
        </w:rPr>
        <w:t>kaum zu erklären.</w:t>
      </w:r>
    </w:p>
    <w:p w:rsidR="00CA0424" w:rsidRDefault="00C8359D" w:rsidP="00CC1947">
      <w:pPr>
        <w:spacing w:after="0"/>
        <w:rPr>
          <w:rFonts w:cs="Times New Roman"/>
          <w:sz w:val="24"/>
          <w:szCs w:val="24"/>
        </w:rPr>
      </w:pPr>
      <w:r>
        <w:rPr>
          <w:rFonts w:cs="Times New Roman"/>
          <w:sz w:val="24"/>
          <w:szCs w:val="24"/>
        </w:rPr>
        <w:tab/>
      </w:r>
      <w:r w:rsidR="003E6733">
        <w:rPr>
          <w:rFonts w:cs="Times New Roman"/>
          <w:sz w:val="24"/>
          <w:szCs w:val="24"/>
        </w:rPr>
        <w:t xml:space="preserve">Ein Blick auf das Pariser Exil </w:t>
      </w:r>
      <w:r w:rsidR="00CD3F17">
        <w:rPr>
          <w:rFonts w:cs="Times New Roman"/>
          <w:sz w:val="24"/>
          <w:szCs w:val="24"/>
        </w:rPr>
        <w:t>und die Entwicklungen, die sich in der Zwischenzeit vollzogen ha</w:t>
      </w:r>
      <w:r w:rsidR="0071242D">
        <w:rPr>
          <w:rFonts w:cs="Times New Roman"/>
          <w:sz w:val="24"/>
          <w:szCs w:val="24"/>
        </w:rPr>
        <w:t>tt</w:t>
      </w:r>
      <w:r w:rsidR="00CD3F17">
        <w:rPr>
          <w:rFonts w:cs="Times New Roman"/>
          <w:sz w:val="24"/>
          <w:szCs w:val="24"/>
        </w:rPr>
        <w:t>en, verdeutlich</w:t>
      </w:r>
      <w:r w:rsidR="003E6733">
        <w:rPr>
          <w:rFonts w:cs="Times New Roman"/>
          <w:sz w:val="24"/>
          <w:szCs w:val="24"/>
        </w:rPr>
        <w:t xml:space="preserve">t, weshalb es in Moskau zu einer Meinungsänderung gekommen war. </w:t>
      </w:r>
      <w:r w:rsidR="00167325">
        <w:rPr>
          <w:rFonts w:cs="Times New Roman"/>
          <w:sz w:val="24"/>
          <w:szCs w:val="24"/>
        </w:rPr>
        <w:t>In der Zeitspanne zwischen September 1937</w:t>
      </w:r>
      <w:r w:rsidR="008A175E">
        <w:rPr>
          <w:rFonts w:cs="Times New Roman"/>
          <w:sz w:val="24"/>
          <w:szCs w:val="24"/>
        </w:rPr>
        <w:t xml:space="preserve">, als die Debatte </w:t>
      </w:r>
      <w:r w:rsidR="00BC7390">
        <w:rPr>
          <w:rFonts w:cs="Times New Roman"/>
          <w:sz w:val="24"/>
          <w:szCs w:val="24"/>
        </w:rPr>
        <w:t>mit den</w:t>
      </w:r>
      <w:r w:rsidR="00CD3F17">
        <w:rPr>
          <w:rFonts w:cs="Times New Roman"/>
          <w:sz w:val="24"/>
          <w:szCs w:val="24"/>
        </w:rPr>
        <w:t xml:space="preserve"> </w:t>
      </w:r>
      <w:r w:rsidR="008A175E">
        <w:rPr>
          <w:rFonts w:cs="Times New Roman"/>
          <w:sz w:val="24"/>
          <w:szCs w:val="24"/>
        </w:rPr>
        <w:t>Artikel</w:t>
      </w:r>
      <w:r w:rsidR="00BC7390">
        <w:rPr>
          <w:rFonts w:cs="Times New Roman"/>
          <w:sz w:val="24"/>
          <w:szCs w:val="24"/>
        </w:rPr>
        <w:t>n</w:t>
      </w:r>
      <w:r w:rsidR="008A175E">
        <w:rPr>
          <w:rFonts w:cs="Times New Roman"/>
          <w:sz w:val="24"/>
          <w:szCs w:val="24"/>
        </w:rPr>
        <w:t xml:space="preserve"> von Klaus Mann und </w:t>
      </w:r>
      <w:r w:rsidR="00CD3F17">
        <w:rPr>
          <w:rFonts w:cs="Times New Roman"/>
          <w:sz w:val="24"/>
          <w:szCs w:val="24"/>
        </w:rPr>
        <w:t xml:space="preserve">Alfred </w:t>
      </w:r>
      <w:proofErr w:type="spellStart"/>
      <w:r w:rsidR="00CD3F17">
        <w:rPr>
          <w:rFonts w:cs="Times New Roman"/>
          <w:sz w:val="24"/>
          <w:szCs w:val="24"/>
        </w:rPr>
        <w:t>Kurella</w:t>
      </w:r>
      <w:proofErr w:type="spellEnd"/>
      <w:r w:rsidR="00CD3F17">
        <w:rPr>
          <w:rFonts w:cs="Times New Roman"/>
          <w:sz w:val="24"/>
          <w:szCs w:val="24"/>
        </w:rPr>
        <w:t xml:space="preserve"> (</w:t>
      </w:r>
      <w:proofErr w:type="spellStart"/>
      <w:r w:rsidR="00CD3F17">
        <w:rPr>
          <w:rFonts w:cs="Times New Roman"/>
          <w:sz w:val="24"/>
          <w:szCs w:val="24"/>
        </w:rPr>
        <w:t>Pseud</w:t>
      </w:r>
      <w:proofErr w:type="spellEnd"/>
      <w:r w:rsidR="00CD3F17">
        <w:rPr>
          <w:rFonts w:cs="Times New Roman"/>
          <w:sz w:val="24"/>
          <w:szCs w:val="24"/>
        </w:rPr>
        <w:t xml:space="preserve">. </w:t>
      </w:r>
      <w:r w:rsidR="008A175E">
        <w:rPr>
          <w:rFonts w:cs="Times New Roman"/>
          <w:sz w:val="24"/>
          <w:szCs w:val="24"/>
        </w:rPr>
        <w:t>Bernhard Ziegler) eingeleitet worden war,</w:t>
      </w:r>
      <w:r w:rsidR="00167325">
        <w:rPr>
          <w:rFonts w:cs="Times New Roman"/>
          <w:sz w:val="24"/>
          <w:szCs w:val="24"/>
        </w:rPr>
        <w:t xml:space="preserve"> und Juni 193</w:t>
      </w:r>
      <w:r w:rsidR="0071242D">
        <w:rPr>
          <w:rFonts w:cs="Times New Roman"/>
          <w:sz w:val="24"/>
          <w:szCs w:val="24"/>
        </w:rPr>
        <w:t>9</w:t>
      </w:r>
      <w:r w:rsidR="00FC11B5">
        <w:rPr>
          <w:rFonts w:cs="Times New Roman"/>
          <w:sz w:val="24"/>
          <w:szCs w:val="24"/>
        </w:rPr>
        <w:t xml:space="preserve">, dem </w:t>
      </w:r>
      <w:r w:rsidR="003E6733">
        <w:rPr>
          <w:rFonts w:cs="Times New Roman"/>
          <w:sz w:val="24"/>
          <w:szCs w:val="24"/>
        </w:rPr>
        <w:t>Erscheinungsdatum des Briefwechsels mit Lukács</w:t>
      </w:r>
      <w:r w:rsidR="00FC11B5">
        <w:rPr>
          <w:rFonts w:cs="Times New Roman"/>
          <w:sz w:val="24"/>
          <w:szCs w:val="24"/>
        </w:rPr>
        <w:t xml:space="preserve">, </w:t>
      </w:r>
      <w:r w:rsidR="00167325">
        <w:rPr>
          <w:rFonts w:cs="Times New Roman"/>
          <w:sz w:val="24"/>
          <w:szCs w:val="24"/>
        </w:rPr>
        <w:t xml:space="preserve">hatte </w:t>
      </w:r>
      <w:r w:rsidR="003E6733">
        <w:rPr>
          <w:rFonts w:cs="Times New Roman"/>
          <w:sz w:val="24"/>
          <w:szCs w:val="24"/>
        </w:rPr>
        <w:t xml:space="preserve">sich </w:t>
      </w:r>
      <w:r w:rsidR="00CD3F17">
        <w:rPr>
          <w:rFonts w:cs="Times New Roman"/>
          <w:sz w:val="24"/>
          <w:szCs w:val="24"/>
        </w:rPr>
        <w:t xml:space="preserve">hier </w:t>
      </w:r>
      <w:r w:rsidR="00167325">
        <w:rPr>
          <w:rFonts w:cs="Times New Roman"/>
          <w:sz w:val="24"/>
          <w:szCs w:val="24"/>
        </w:rPr>
        <w:t xml:space="preserve">die Lage </w:t>
      </w:r>
      <w:r w:rsidR="00CD3F17">
        <w:rPr>
          <w:rFonts w:cs="Times New Roman"/>
          <w:sz w:val="24"/>
          <w:szCs w:val="24"/>
        </w:rPr>
        <w:t>zu Ungun</w:t>
      </w:r>
      <w:r w:rsidR="008A175E">
        <w:rPr>
          <w:rFonts w:cs="Times New Roman"/>
          <w:sz w:val="24"/>
          <w:szCs w:val="24"/>
        </w:rPr>
        <w:t xml:space="preserve">sten </w:t>
      </w:r>
      <w:r w:rsidR="00FC11B5">
        <w:rPr>
          <w:rFonts w:cs="Times New Roman"/>
          <w:sz w:val="24"/>
          <w:szCs w:val="24"/>
        </w:rPr>
        <w:t xml:space="preserve">der KPD </w:t>
      </w:r>
      <w:r w:rsidR="00167325">
        <w:rPr>
          <w:rFonts w:cs="Times New Roman"/>
          <w:sz w:val="24"/>
          <w:szCs w:val="24"/>
        </w:rPr>
        <w:t>ver</w:t>
      </w:r>
      <w:r w:rsidR="008A175E">
        <w:rPr>
          <w:rFonts w:cs="Times New Roman"/>
          <w:sz w:val="24"/>
          <w:szCs w:val="24"/>
        </w:rPr>
        <w:t>änd</w:t>
      </w:r>
      <w:r w:rsidR="00167325">
        <w:rPr>
          <w:rFonts w:cs="Times New Roman"/>
          <w:sz w:val="24"/>
          <w:szCs w:val="24"/>
        </w:rPr>
        <w:t xml:space="preserve">ert. Die Nachrichten über die Moskauer Prozesse und den „Großen Terror“ </w:t>
      </w:r>
      <w:r w:rsidR="008A175E">
        <w:rPr>
          <w:rFonts w:cs="Times New Roman"/>
          <w:sz w:val="24"/>
          <w:szCs w:val="24"/>
        </w:rPr>
        <w:t xml:space="preserve">hatten </w:t>
      </w:r>
      <w:r w:rsidR="00CD3F17">
        <w:rPr>
          <w:rFonts w:cs="Times New Roman"/>
          <w:sz w:val="24"/>
          <w:szCs w:val="24"/>
        </w:rPr>
        <w:t>zunehmend</w:t>
      </w:r>
      <w:r w:rsidR="00167325">
        <w:rPr>
          <w:rFonts w:cs="Times New Roman"/>
          <w:sz w:val="24"/>
          <w:szCs w:val="24"/>
        </w:rPr>
        <w:t xml:space="preserve"> stärkere Wirkung</w:t>
      </w:r>
      <w:r w:rsidR="008A175E" w:rsidRPr="008A175E">
        <w:rPr>
          <w:rFonts w:cs="Times New Roman"/>
          <w:sz w:val="24"/>
          <w:szCs w:val="24"/>
        </w:rPr>
        <w:t xml:space="preserve"> </w:t>
      </w:r>
      <w:r w:rsidR="008A175E">
        <w:rPr>
          <w:rFonts w:cs="Times New Roman"/>
          <w:sz w:val="24"/>
          <w:szCs w:val="24"/>
        </w:rPr>
        <w:t>entfaltet;</w:t>
      </w:r>
      <w:r w:rsidR="00167325">
        <w:rPr>
          <w:rFonts w:cs="Times New Roman"/>
          <w:sz w:val="24"/>
          <w:szCs w:val="24"/>
        </w:rPr>
        <w:t xml:space="preserve"> </w:t>
      </w:r>
      <w:r w:rsidR="008A175E">
        <w:rPr>
          <w:rFonts w:cs="Times New Roman"/>
          <w:sz w:val="24"/>
          <w:szCs w:val="24"/>
        </w:rPr>
        <w:t>d</w:t>
      </w:r>
      <w:r w:rsidR="00CC1947">
        <w:rPr>
          <w:rFonts w:cs="Times New Roman"/>
          <w:sz w:val="24"/>
          <w:szCs w:val="24"/>
        </w:rPr>
        <w:t xml:space="preserve">ie politische Stimmung </w:t>
      </w:r>
      <w:r w:rsidR="00BC7390">
        <w:rPr>
          <w:rFonts w:cs="Times New Roman"/>
          <w:sz w:val="24"/>
          <w:szCs w:val="24"/>
        </w:rPr>
        <w:t>war</w:t>
      </w:r>
      <w:r w:rsidR="00CC1947">
        <w:rPr>
          <w:rFonts w:cs="Times New Roman"/>
          <w:sz w:val="24"/>
          <w:szCs w:val="24"/>
        </w:rPr>
        <w:t xml:space="preserve"> um</w:t>
      </w:r>
      <w:r w:rsidR="00BC7390">
        <w:rPr>
          <w:rFonts w:cs="Times New Roman"/>
          <w:sz w:val="24"/>
          <w:szCs w:val="24"/>
        </w:rPr>
        <w:t>ge</w:t>
      </w:r>
      <w:r w:rsidR="00CC1947">
        <w:rPr>
          <w:rFonts w:cs="Times New Roman"/>
          <w:sz w:val="24"/>
          <w:szCs w:val="24"/>
        </w:rPr>
        <w:t>schlagen.</w:t>
      </w:r>
      <w:r>
        <w:rPr>
          <w:rFonts w:cs="Times New Roman"/>
          <w:sz w:val="24"/>
          <w:szCs w:val="24"/>
        </w:rPr>
        <w:t xml:space="preserve"> Die Zahl der </w:t>
      </w:r>
      <w:r w:rsidR="003172C3">
        <w:rPr>
          <w:rFonts w:cs="Times New Roman"/>
          <w:sz w:val="24"/>
          <w:szCs w:val="24"/>
        </w:rPr>
        <w:t xml:space="preserve">nichtkommunistischen </w:t>
      </w:r>
      <w:r>
        <w:rPr>
          <w:rFonts w:cs="Times New Roman"/>
          <w:sz w:val="24"/>
          <w:szCs w:val="24"/>
        </w:rPr>
        <w:t>P</w:t>
      </w:r>
      <w:r w:rsidR="00CD3F17">
        <w:rPr>
          <w:rFonts w:cs="Times New Roman"/>
          <w:sz w:val="24"/>
          <w:szCs w:val="24"/>
        </w:rPr>
        <w:t>rominent</w:t>
      </w:r>
      <w:r>
        <w:rPr>
          <w:rFonts w:cs="Times New Roman"/>
          <w:sz w:val="24"/>
          <w:szCs w:val="24"/>
        </w:rPr>
        <w:t xml:space="preserve">en, die sich </w:t>
      </w:r>
      <w:r w:rsidR="00CD3F17">
        <w:rPr>
          <w:rFonts w:cs="Times New Roman"/>
          <w:sz w:val="24"/>
          <w:szCs w:val="24"/>
        </w:rPr>
        <w:t xml:space="preserve">weiterhin </w:t>
      </w:r>
      <w:r>
        <w:rPr>
          <w:rFonts w:cs="Times New Roman"/>
          <w:sz w:val="24"/>
          <w:szCs w:val="24"/>
        </w:rPr>
        <w:t xml:space="preserve">positiv über die Sowjetunion und den von ihr vertretenen politischen Kurs äußerten, </w:t>
      </w:r>
      <w:r w:rsidR="003172C3">
        <w:rPr>
          <w:rFonts w:cs="Times New Roman"/>
          <w:sz w:val="24"/>
          <w:szCs w:val="24"/>
        </w:rPr>
        <w:t xml:space="preserve">hatte sich erheblich </w:t>
      </w:r>
      <w:r w:rsidR="00FC11B5">
        <w:rPr>
          <w:rFonts w:cs="Times New Roman"/>
          <w:sz w:val="24"/>
          <w:szCs w:val="24"/>
        </w:rPr>
        <w:t>ver</w:t>
      </w:r>
      <w:r>
        <w:rPr>
          <w:rFonts w:cs="Times New Roman"/>
          <w:sz w:val="24"/>
          <w:szCs w:val="24"/>
        </w:rPr>
        <w:t>ringer</w:t>
      </w:r>
      <w:r w:rsidR="00FC11B5">
        <w:rPr>
          <w:rFonts w:cs="Times New Roman"/>
          <w:sz w:val="24"/>
          <w:szCs w:val="24"/>
        </w:rPr>
        <w:t>t</w:t>
      </w:r>
      <w:r w:rsidR="0002776F">
        <w:rPr>
          <w:rFonts w:cs="Times New Roman"/>
          <w:sz w:val="24"/>
          <w:szCs w:val="24"/>
        </w:rPr>
        <w:t>.</w:t>
      </w:r>
      <w:r>
        <w:rPr>
          <w:rFonts w:cs="Times New Roman"/>
          <w:sz w:val="24"/>
          <w:szCs w:val="24"/>
        </w:rPr>
        <w:t xml:space="preserve"> </w:t>
      </w:r>
      <w:r w:rsidR="00CA0424">
        <w:rPr>
          <w:rFonts w:cs="Times New Roman"/>
          <w:sz w:val="24"/>
          <w:szCs w:val="24"/>
        </w:rPr>
        <w:t>Z</w:t>
      </w:r>
      <w:r w:rsidR="008A175E">
        <w:rPr>
          <w:rFonts w:cs="Times New Roman"/>
          <w:sz w:val="24"/>
          <w:szCs w:val="24"/>
        </w:rPr>
        <w:t xml:space="preserve">war korrigierte man </w:t>
      </w:r>
      <w:r w:rsidR="00CA0424">
        <w:rPr>
          <w:rFonts w:cs="Times New Roman"/>
          <w:sz w:val="24"/>
          <w:szCs w:val="24"/>
        </w:rPr>
        <w:t xml:space="preserve">in der Regel </w:t>
      </w:r>
      <w:r w:rsidR="008A175E">
        <w:rPr>
          <w:rFonts w:cs="Times New Roman"/>
          <w:sz w:val="24"/>
          <w:szCs w:val="24"/>
        </w:rPr>
        <w:t>die bis</w:t>
      </w:r>
      <w:r w:rsidR="00CA0424">
        <w:rPr>
          <w:rFonts w:cs="Times New Roman"/>
          <w:sz w:val="24"/>
          <w:szCs w:val="24"/>
        </w:rPr>
        <w:t>lang</w:t>
      </w:r>
      <w:r w:rsidR="008A175E">
        <w:rPr>
          <w:rFonts w:cs="Times New Roman"/>
          <w:sz w:val="24"/>
          <w:szCs w:val="24"/>
        </w:rPr>
        <w:t xml:space="preserve"> vertretene Meinung nicht</w:t>
      </w:r>
      <w:r w:rsidR="003E6733">
        <w:rPr>
          <w:rFonts w:cs="Times New Roman"/>
          <w:sz w:val="24"/>
          <w:szCs w:val="24"/>
        </w:rPr>
        <w:t xml:space="preserve"> direkt</w:t>
      </w:r>
      <w:r w:rsidR="008A175E">
        <w:rPr>
          <w:rFonts w:cs="Times New Roman"/>
          <w:sz w:val="24"/>
          <w:szCs w:val="24"/>
        </w:rPr>
        <w:t xml:space="preserve">, aber </w:t>
      </w:r>
      <w:r w:rsidR="00CA0424" w:rsidRPr="003E6733">
        <w:rPr>
          <w:rFonts w:cs="Times New Roman"/>
          <w:i/>
          <w:sz w:val="24"/>
          <w:szCs w:val="24"/>
        </w:rPr>
        <w:t>öffentlich</w:t>
      </w:r>
      <w:r w:rsidR="00CA0424">
        <w:rPr>
          <w:rFonts w:cs="Times New Roman"/>
          <w:sz w:val="24"/>
          <w:szCs w:val="24"/>
        </w:rPr>
        <w:t xml:space="preserve"> </w:t>
      </w:r>
      <w:r w:rsidR="008A175E">
        <w:rPr>
          <w:rFonts w:cs="Times New Roman"/>
          <w:sz w:val="24"/>
          <w:szCs w:val="24"/>
        </w:rPr>
        <w:t xml:space="preserve">äußerte </w:t>
      </w:r>
      <w:r w:rsidR="00CA0424">
        <w:rPr>
          <w:rFonts w:cs="Times New Roman"/>
          <w:sz w:val="24"/>
          <w:szCs w:val="24"/>
        </w:rPr>
        <w:t xml:space="preserve">man </w:t>
      </w:r>
      <w:r w:rsidR="008A175E">
        <w:rPr>
          <w:rFonts w:cs="Times New Roman"/>
          <w:sz w:val="24"/>
          <w:szCs w:val="24"/>
        </w:rPr>
        <w:t>sich zu</w:t>
      </w:r>
      <w:r w:rsidR="003172C3">
        <w:rPr>
          <w:rFonts w:cs="Times New Roman"/>
          <w:sz w:val="24"/>
          <w:szCs w:val="24"/>
        </w:rPr>
        <w:t>r Sowjetunion</w:t>
      </w:r>
      <w:r w:rsidR="008A175E">
        <w:rPr>
          <w:rFonts w:cs="Times New Roman"/>
          <w:sz w:val="24"/>
          <w:szCs w:val="24"/>
        </w:rPr>
        <w:t xml:space="preserve"> </w:t>
      </w:r>
      <w:r w:rsidR="003172C3">
        <w:rPr>
          <w:rFonts w:cs="Times New Roman"/>
          <w:sz w:val="24"/>
          <w:szCs w:val="24"/>
        </w:rPr>
        <w:t xml:space="preserve">und dem sich dort entwickelnden Geschehen </w:t>
      </w:r>
      <w:r w:rsidR="00CD3F17">
        <w:rPr>
          <w:rFonts w:cs="Times New Roman"/>
          <w:sz w:val="24"/>
          <w:szCs w:val="24"/>
        </w:rPr>
        <w:t xml:space="preserve">von jetzt an </w:t>
      </w:r>
      <w:r w:rsidR="00FC11B5">
        <w:rPr>
          <w:rFonts w:cs="Times New Roman"/>
          <w:sz w:val="24"/>
          <w:szCs w:val="24"/>
        </w:rPr>
        <w:t xml:space="preserve">gar nicht </w:t>
      </w:r>
      <w:r w:rsidR="003172C3">
        <w:rPr>
          <w:rFonts w:cs="Times New Roman"/>
          <w:sz w:val="24"/>
          <w:szCs w:val="24"/>
        </w:rPr>
        <w:t xml:space="preserve">mehr </w:t>
      </w:r>
      <w:r w:rsidR="008A175E">
        <w:rPr>
          <w:rFonts w:cs="Times New Roman"/>
          <w:sz w:val="24"/>
          <w:szCs w:val="24"/>
        </w:rPr>
        <w:t xml:space="preserve">oder nur </w:t>
      </w:r>
      <w:r w:rsidR="00FC11B5">
        <w:rPr>
          <w:rFonts w:cs="Times New Roman"/>
          <w:sz w:val="24"/>
          <w:szCs w:val="24"/>
        </w:rPr>
        <w:t xml:space="preserve">in </w:t>
      </w:r>
      <w:r w:rsidR="008A175E">
        <w:rPr>
          <w:rFonts w:cs="Times New Roman"/>
          <w:sz w:val="24"/>
          <w:szCs w:val="24"/>
        </w:rPr>
        <w:t>sehr zurückhaltend</w:t>
      </w:r>
      <w:r w:rsidR="00FC11B5">
        <w:rPr>
          <w:rFonts w:cs="Times New Roman"/>
          <w:sz w:val="24"/>
          <w:szCs w:val="24"/>
        </w:rPr>
        <w:t>er Form</w:t>
      </w:r>
      <w:r w:rsidR="003172C3">
        <w:rPr>
          <w:rFonts w:cs="Times New Roman"/>
          <w:sz w:val="24"/>
          <w:szCs w:val="24"/>
        </w:rPr>
        <w:t xml:space="preserve">, </w:t>
      </w:r>
      <w:r w:rsidR="003172C3">
        <w:rPr>
          <w:rFonts w:cs="Times New Roman"/>
          <w:i/>
          <w:sz w:val="24"/>
          <w:szCs w:val="24"/>
        </w:rPr>
        <w:t>positiv</w:t>
      </w:r>
      <w:r w:rsidR="003172C3">
        <w:rPr>
          <w:rFonts w:cs="Times New Roman"/>
          <w:sz w:val="24"/>
          <w:szCs w:val="24"/>
        </w:rPr>
        <w:t xml:space="preserve"> aber auf keinen Fall</w:t>
      </w:r>
      <w:r w:rsidR="008A175E">
        <w:rPr>
          <w:rFonts w:cs="Times New Roman"/>
          <w:sz w:val="24"/>
          <w:szCs w:val="24"/>
        </w:rPr>
        <w:t>.</w:t>
      </w:r>
      <w:r w:rsidR="00CC1947">
        <w:rPr>
          <w:rStyle w:val="Funotenzeichen"/>
          <w:rFonts w:cs="Times New Roman"/>
          <w:sz w:val="24"/>
          <w:szCs w:val="24"/>
        </w:rPr>
        <w:footnoteReference w:id="28"/>
      </w:r>
      <w:r w:rsidR="00CC1947">
        <w:rPr>
          <w:rFonts w:cs="Times New Roman"/>
          <w:sz w:val="24"/>
          <w:szCs w:val="24"/>
        </w:rPr>
        <w:t xml:space="preserve"> </w:t>
      </w:r>
    </w:p>
    <w:p w:rsidR="003E6733" w:rsidRPr="00877DB8" w:rsidRDefault="00CA0424" w:rsidP="00CA0424">
      <w:pPr>
        <w:spacing w:after="0"/>
        <w:rPr>
          <w:rFonts w:cs="Times New Roman"/>
          <w:sz w:val="24"/>
          <w:szCs w:val="24"/>
        </w:rPr>
      </w:pPr>
      <w:r>
        <w:rPr>
          <w:rFonts w:cs="Times New Roman"/>
          <w:sz w:val="24"/>
          <w:szCs w:val="24"/>
        </w:rPr>
        <w:lastRenderedPageBreak/>
        <w:tab/>
      </w:r>
      <w:r w:rsidR="00FC11B5">
        <w:rPr>
          <w:rFonts w:cs="Times New Roman"/>
          <w:sz w:val="24"/>
          <w:szCs w:val="24"/>
        </w:rPr>
        <w:t>Zu</w:t>
      </w:r>
      <w:r>
        <w:rPr>
          <w:rFonts w:cs="Times New Roman"/>
          <w:sz w:val="24"/>
          <w:szCs w:val="24"/>
        </w:rPr>
        <w:t xml:space="preserve"> gleicher Zeit</w:t>
      </w:r>
      <w:r w:rsidR="00FC11B5">
        <w:rPr>
          <w:rFonts w:cs="Times New Roman"/>
          <w:sz w:val="24"/>
          <w:szCs w:val="24"/>
        </w:rPr>
        <w:t xml:space="preserve"> </w:t>
      </w:r>
      <w:r w:rsidR="003E6733">
        <w:rPr>
          <w:rFonts w:cs="Times New Roman"/>
          <w:sz w:val="24"/>
          <w:szCs w:val="24"/>
        </w:rPr>
        <w:t xml:space="preserve">wurden </w:t>
      </w:r>
      <w:r w:rsidR="003172C3">
        <w:rPr>
          <w:rFonts w:cs="Times New Roman"/>
          <w:sz w:val="24"/>
          <w:szCs w:val="24"/>
        </w:rPr>
        <w:t>sogar</w:t>
      </w:r>
      <w:r w:rsidR="00FC11B5">
        <w:rPr>
          <w:rFonts w:cs="Times New Roman"/>
          <w:sz w:val="24"/>
          <w:szCs w:val="24"/>
        </w:rPr>
        <w:t xml:space="preserve"> für Außenstehende spektakuläre Veränderungen </w:t>
      </w:r>
      <w:r w:rsidR="003E6733">
        <w:rPr>
          <w:rFonts w:cs="Times New Roman"/>
          <w:sz w:val="24"/>
          <w:szCs w:val="24"/>
        </w:rPr>
        <w:t xml:space="preserve">innerhalb der KPD </w:t>
      </w:r>
      <w:r w:rsidR="00FC11B5">
        <w:rPr>
          <w:rFonts w:cs="Times New Roman"/>
          <w:sz w:val="24"/>
          <w:szCs w:val="24"/>
        </w:rPr>
        <w:t>erkennbar. Im</w:t>
      </w:r>
      <w:r w:rsidR="00CC1947">
        <w:rPr>
          <w:rFonts w:cs="Times New Roman"/>
          <w:sz w:val="24"/>
          <w:szCs w:val="24"/>
        </w:rPr>
        <w:t xml:space="preserve"> Mai 1937 wird Willi Münzenberg von seiner Position im Volksfront-Ausschuss abgelöst</w:t>
      </w:r>
      <w:r w:rsidR="00877DB8">
        <w:rPr>
          <w:rFonts w:cs="Times New Roman"/>
          <w:sz w:val="24"/>
          <w:szCs w:val="24"/>
        </w:rPr>
        <w:t>, ebenso als Leiter der Agitprop-Abteilung des West-Büros der Komintern</w:t>
      </w:r>
      <w:r w:rsidR="00FC11B5">
        <w:rPr>
          <w:rFonts w:cs="Times New Roman"/>
          <w:sz w:val="24"/>
          <w:szCs w:val="24"/>
        </w:rPr>
        <w:t xml:space="preserve">. Nicht nur bei Heinrich Mann, </w:t>
      </w:r>
      <w:r w:rsidR="003E6733">
        <w:rPr>
          <w:rFonts w:cs="Times New Roman"/>
          <w:sz w:val="24"/>
          <w:szCs w:val="24"/>
        </w:rPr>
        <w:t xml:space="preserve">einem dezidierten Befürworter der Volksfront, </w:t>
      </w:r>
      <w:r w:rsidR="00FC11B5">
        <w:rPr>
          <w:rFonts w:cs="Times New Roman"/>
          <w:sz w:val="24"/>
          <w:szCs w:val="24"/>
        </w:rPr>
        <w:t>sondern auch bei anderen löst d</w:t>
      </w:r>
      <w:r w:rsidR="003172C3">
        <w:rPr>
          <w:rFonts w:cs="Times New Roman"/>
          <w:sz w:val="24"/>
          <w:szCs w:val="24"/>
        </w:rPr>
        <w:t>ies</w:t>
      </w:r>
      <w:r w:rsidR="00FC11B5">
        <w:rPr>
          <w:rFonts w:cs="Times New Roman"/>
          <w:sz w:val="24"/>
          <w:szCs w:val="24"/>
        </w:rPr>
        <w:t>er Vorgang Befremden aus. Münzenberg</w:t>
      </w:r>
      <w:r>
        <w:rPr>
          <w:rFonts w:cs="Times New Roman"/>
          <w:sz w:val="24"/>
          <w:szCs w:val="24"/>
        </w:rPr>
        <w:t xml:space="preserve"> </w:t>
      </w:r>
      <w:r w:rsidR="00FC11B5">
        <w:rPr>
          <w:rFonts w:cs="Times New Roman"/>
          <w:sz w:val="24"/>
          <w:szCs w:val="24"/>
        </w:rPr>
        <w:t>s</w:t>
      </w:r>
      <w:r>
        <w:rPr>
          <w:rFonts w:cs="Times New Roman"/>
          <w:sz w:val="24"/>
          <w:szCs w:val="24"/>
        </w:rPr>
        <w:t xml:space="preserve">elber </w:t>
      </w:r>
      <w:r w:rsidR="003172C3">
        <w:rPr>
          <w:rFonts w:cs="Times New Roman"/>
          <w:sz w:val="24"/>
          <w:szCs w:val="24"/>
        </w:rPr>
        <w:t>erklärt seinen Austritt aus der</w:t>
      </w:r>
      <w:r>
        <w:rPr>
          <w:rFonts w:cs="Times New Roman"/>
          <w:sz w:val="24"/>
          <w:szCs w:val="24"/>
        </w:rPr>
        <w:t xml:space="preserve"> KPD.</w:t>
      </w:r>
      <w:r w:rsidR="00CC1947">
        <w:rPr>
          <w:rFonts w:cs="Times New Roman"/>
          <w:sz w:val="24"/>
          <w:szCs w:val="24"/>
        </w:rPr>
        <w:t xml:space="preserve"> </w:t>
      </w:r>
      <w:r w:rsidR="003E6733">
        <w:rPr>
          <w:rFonts w:cs="Times New Roman"/>
          <w:sz w:val="24"/>
          <w:szCs w:val="24"/>
        </w:rPr>
        <w:t xml:space="preserve">Am 7. Juli 1937 spaltet sich der von der KPD beherrschte Schutzverband Deutscher Schriftsteller (SDS). </w:t>
      </w:r>
      <w:r w:rsidR="003172C3">
        <w:rPr>
          <w:rFonts w:cs="Times New Roman"/>
          <w:sz w:val="24"/>
          <w:szCs w:val="24"/>
        </w:rPr>
        <w:t xml:space="preserve">Ehemalige Mitglieder der kommunistischen Fraktion im SDS wie Hans Sahl verlassen die Organisation. Zusammen mit </w:t>
      </w:r>
      <w:r w:rsidR="003E6733">
        <w:rPr>
          <w:rFonts w:cs="Times New Roman"/>
          <w:sz w:val="24"/>
          <w:szCs w:val="24"/>
        </w:rPr>
        <w:t xml:space="preserve">Leopold Schwarzschild, Konrad Heiden, Alfred Döblin, Joseph Roth, Leonhard Frank, Walter Mehring, Bruno Frank, Ernst Erich </w:t>
      </w:r>
      <w:proofErr w:type="spellStart"/>
      <w:r w:rsidR="003E6733">
        <w:rPr>
          <w:rFonts w:cs="Times New Roman"/>
          <w:sz w:val="24"/>
          <w:szCs w:val="24"/>
        </w:rPr>
        <w:t>Noth</w:t>
      </w:r>
      <w:proofErr w:type="spellEnd"/>
      <w:r w:rsidR="003E6733">
        <w:rPr>
          <w:rFonts w:cs="Times New Roman"/>
          <w:sz w:val="24"/>
          <w:szCs w:val="24"/>
        </w:rPr>
        <w:t xml:space="preserve">, Karl Otten, Hermann Kesten, Valeriu </w:t>
      </w:r>
      <w:proofErr w:type="spellStart"/>
      <w:r w:rsidR="003E6733">
        <w:rPr>
          <w:rFonts w:cs="Times New Roman"/>
          <w:sz w:val="24"/>
          <w:szCs w:val="24"/>
        </w:rPr>
        <w:t>Marcu</w:t>
      </w:r>
      <w:proofErr w:type="spellEnd"/>
      <w:r w:rsidR="003E6733">
        <w:rPr>
          <w:rFonts w:cs="Times New Roman"/>
          <w:sz w:val="24"/>
          <w:szCs w:val="24"/>
        </w:rPr>
        <w:t>, Hilde Walter und andere</w:t>
      </w:r>
      <w:r w:rsidR="003172C3">
        <w:rPr>
          <w:rFonts w:cs="Times New Roman"/>
          <w:sz w:val="24"/>
          <w:szCs w:val="24"/>
        </w:rPr>
        <w:t>n</w:t>
      </w:r>
      <w:r w:rsidR="003E6733">
        <w:rPr>
          <w:rFonts w:cs="Times New Roman"/>
          <w:sz w:val="24"/>
          <w:szCs w:val="24"/>
        </w:rPr>
        <w:t xml:space="preserve"> </w:t>
      </w:r>
      <w:proofErr w:type="spellStart"/>
      <w:r w:rsidR="003E6733">
        <w:rPr>
          <w:rFonts w:cs="Times New Roman"/>
          <w:sz w:val="24"/>
          <w:szCs w:val="24"/>
        </w:rPr>
        <w:t>gründen</w:t>
      </w:r>
      <w:proofErr w:type="spellEnd"/>
      <w:r w:rsidR="003E6733">
        <w:rPr>
          <w:rFonts w:cs="Times New Roman"/>
          <w:sz w:val="24"/>
          <w:szCs w:val="24"/>
        </w:rPr>
        <w:t xml:space="preserve"> </w:t>
      </w:r>
      <w:r w:rsidR="003172C3">
        <w:rPr>
          <w:rFonts w:cs="Times New Roman"/>
          <w:sz w:val="24"/>
          <w:szCs w:val="24"/>
        </w:rPr>
        <w:t xml:space="preserve">sie </w:t>
      </w:r>
      <w:r w:rsidR="003E6733">
        <w:rPr>
          <w:rFonts w:cs="Times New Roman"/>
          <w:sz w:val="24"/>
          <w:szCs w:val="24"/>
        </w:rPr>
        <w:t xml:space="preserve">den „Bund Freie Presse und Literatur (Verband unabhängiger deutscher Schriftsteller und Journalisten im Exil)“. </w:t>
      </w:r>
      <w:r w:rsidR="004C6ECD">
        <w:rPr>
          <w:rFonts w:cs="Times New Roman"/>
          <w:sz w:val="24"/>
          <w:szCs w:val="24"/>
        </w:rPr>
        <w:t>Die Entwicklung erreicht ihren vo</w:t>
      </w:r>
      <w:r w:rsidR="00C71BF7">
        <w:rPr>
          <w:rFonts w:cs="Times New Roman"/>
          <w:sz w:val="24"/>
          <w:szCs w:val="24"/>
        </w:rPr>
        <w:t>r</w:t>
      </w:r>
      <w:r w:rsidR="004C6ECD">
        <w:rPr>
          <w:rFonts w:cs="Times New Roman"/>
          <w:sz w:val="24"/>
          <w:szCs w:val="24"/>
        </w:rPr>
        <w:t>läufigen Höhepunkt, als a</w:t>
      </w:r>
      <w:r>
        <w:rPr>
          <w:rFonts w:cs="Times New Roman"/>
          <w:sz w:val="24"/>
          <w:szCs w:val="24"/>
        </w:rPr>
        <w:t>m 20. März 1938 Arthur Koestler</w:t>
      </w:r>
      <w:r w:rsidR="007E744C">
        <w:rPr>
          <w:rFonts w:cs="Times New Roman"/>
          <w:sz w:val="24"/>
          <w:szCs w:val="24"/>
        </w:rPr>
        <w:t xml:space="preserve"> – ein Autor, der durch seine Verhaftung durch die Franco-Truppen zu einer Symbolgestalt geworden war – s</w:t>
      </w:r>
      <w:r w:rsidR="004C6ECD">
        <w:rPr>
          <w:rFonts w:cs="Times New Roman"/>
          <w:sz w:val="24"/>
          <w:szCs w:val="24"/>
        </w:rPr>
        <w:t xml:space="preserve">ich </w:t>
      </w:r>
      <w:r>
        <w:rPr>
          <w:rFonts w:cs="Times New Roman"/>
          <w:sz w:val="24"/>
          <w:szCs w:val="24"/>
        </w:rPr>
        <w:t xml:space="preserve">auf einer öffentlichen Veranstaltung </w:t>
      </w:r>
      <w:r w:rsidR="007E744C">
        <w:rPr>
          <w:rFonts w:cs="Times New Roman"/>
          <w:sz w:val="24"/>
          <w:szCs w:val="24"/>
        </w:rPr>
        <w:t xml:space="preserve">ostentativ </w:t>
      </w:r>
      <w:r>
        <w:rPr>
          <w:rFonts w:cs="Times New Roman"/>
          <w:sz w:val="24"/>
          <w:szCs w:val="24"/>
        </w:rPr>
        <w:t>von der KPD</w:t>
      </w:r>
      <w:r w:rsidR="004C6ECD" w:rsidRPr="004C6ECD">
        <w:rPr>
          <w:rFonts w:cs="Times New Roman"/>
          <w:sz w:val="24"/>
          <w:szCs w:val="24"/>
        </w:rPr>
        <w:t xml:space="preserve"> </w:t>
      </w:r>
      <w:r w:rsidR="004C6ECD">
        <w:rPr>
          <w:rFonts w:cs="Times New Roman"/>
          <w:sz w:val="24"/>
          <w:szCs w:val="24"/>
        </w:rPr>
        <w:t>distanziert</w:t>
      </w:r>
      <w:r w:rsidR="007E744C">
        <w:rPr>
          <w:rFonts w:cs="Times New Roman"/>
          <w:sz w:val="24"/>
          <w:szCs w:val="24"/>
        </w:rPr>
        <w:t>.</w:t>
      </w:r>
      <w:r>
        <w:rPr>
          <w:rFonts w:cs="Times New Roman"/>
          <w:sz w:val="24"/>
          <w:szCs w:val="24"/>
        </w:rPr>
        <w:t xml:space="preserve"> </w:t>
      </w:r>
      <w:r w:rsidR="007E744C">
        <w:rPr>
          <w:rFonts w:cs="Times New Roman"/>
          <w:sz w:val="24"/>
          <w:szCs w:val="24"/>
        </w:rPr>
        <w:t>I</w:t>
      </w:r>
      <w:r>
        <w:rPr>
          <w:rFonts w:cs="Times New Roman"/>
          <w:sz w:val="24"/>
          <w:szCs w:val="24"/>
        </w:rPr>
        <w:t xml:space="preserve">m April 1938 erklärt er schriftlich seinen </w:t>
      </w:r>
      <w:r w:rsidR="004C6ECD">
        <w:rPr>
          <w:rFonts w:cs="Times New Roman"/>
          <w:sz w:val="24"/>
          <w:szCs w:val="24"/>
        </w:rPr>
        <w:t>Parteiaus</w:t>
      </w:r>
      <w:r>
        <w:rPr>
          <w:rFonts w:cs="Times New Roman"/>
          <w:sz w:val="24"/>
          <w:szCs w:val="24"/>
        </w:rPr>
        <w:t>tritt.</w:t>
      </w:r>
      <w:r w:rsidR="004C6ECD">
        <w:rPr>
          <w:rStyle w:val="Funotenzeichen"/>
          <w:rFonts w:cs="Times New Roman"/>
          <w:sz w:val="24"/>
          <w:szCs w:val="24"/>
        </w:rPr>
        <w:footnoteReference w:id="29"/>
      </w:r>
      <w:r>
        <w:rPr>
          <w:rFonts w:cs="Times New Roman"/>
          <w:sz w:val="24"/>
          <w:szCs w:val="24"/>
        </w:rPr>
        <w:t xml:space="preserve"> </w:t>
      </w:r>
      <w:r w:rsidR="00877DB8">
        <w:rPr>
          <w:rFonts w:cs="Times New Roman"/>
          <w:sz w:val="24"/>
          <w:szCs w:val="24"/>
        </w:rPr>
        <w:t xml:space="preserve">Im Oktober 1938 erscheint als neue Zeitschrift </w:t>
      </w:r>
      <w:r w:rsidR="00877DB8">
        <w:rPr>
          <w:rFonts w:cs="Times New Roman"/>
          <w:i/>
          <w:sz w:val="24"/>
          <w:szCs w:val="24"/>
        </w:rPr>
        <w:t>Die Zukunft.</w:t>
      </w:r>
      <w:r w:rsidR="00877DB8">
        <w:rPr>
          <w:rFonts w:cs="Times New Roman"/>
          <w:sz w:val="24"/>
          <w:szCs w:val="24"/>
        </w:rPr>
        <w:t xml:space="preserve"> </w:t>
      </w:r>
      <w:r w:rsidR="00F93152">
        <w:rPr>
          <w:rFonts w:cs="Times New Roman"/>
          <w:sz w:val="24"/>
          <w:szCs w:val="24"/>
        </w:rPr>
        <w:t xml:space="preserve">Der Herausgeber ist Willi Münzenberg, der Chefredakteur ist Arthur Koestler, sein Nachfolger Werner </w:t>
      </w:r>
      <w:proofErr w:type="spellStart"/>
      <w:r w:rsidR="00F93152">
        <w:rPr>
          <w:rFonts w:cs="Times New Roman"/>
          <w:sz w:val="24"/>
          <w:szCs w:val="24"/>
        </w:rPr>
        <w:t>Thormann</w:t>
      </w:r>
      <w:proofErr w:type="spellEnd"/>
      <w:r w:rsidR="00F93152">
        <w:rPr>
          <w:rFonts w:cs="Times New Roman"/>
          <w:sz w:val="24"/>
          <w:szCs w:val="24"/>
        </w:rPr>
        <w:t xml:space="preserve">, ehemals Sekretär von Reichskanzler Joseph Wirth. </w:t>
      </w:r>
      <w:r w:rsidR="008371A8">
        <w:rPr>
          <w:rFonts w:cs="Times New Roman"/>
          <w:sz w:val="24"/>
          <w:szCs w:val="24"/>
        </w:rPr>
        <w:t>Es zeichnet sich hier eine „Volksfront ohne Kommunisten“ ab.</w:t>
      </w:r>
      <w:r w:rsidR="008371A8">
        <w:rPr>
          <w:rStyle w:val="Funotenzeichen"/>
          <w:rFonts w:cs="Times New Roman"/>
          <w:sz w:val="24"/>
          <w:szCs w:val="24"/>
        </w:rPr>
        <w:footnoteReference w:id="30"/>
      </w:r>
    </w:p>
    <w:p w:rsidR="003E6733" w:rsidRDefault="003E6733" w:rsidP="00CA0424">
      <w:pPr>
        <w:spacing w:after="0"/>
        <w:rPr>
          <w:rFonts w:cs="Times New Roman"/>
          <w:sz w:val="24"/>
          <w:szCs w:val="24"/>
        </w:rPr>
      </w:pPr>
    </w:p>
    <w:p w:rsidR="0001661E" w:rsidRDefault="00C71BF7" w:rsidP="00CA0424">
      <w:pPr>
        <w:spacing w:after="0"/>
        <w:rPr>
          <w:rFonts w:cs="Times New Roman"/>
          <w:sz w:val="24"/>
          <w:szCs w:val="24"/>
        </w:rPr>
      </w:pPr>
      <w:r>
        <w:rPr>
          <w:rFonts w:cs="Times New Roman"/>
          <w:sz w:val="24"/>
          <w:szCs w:val="24"/>
        </w:rPr>
        <w:tab/>
        <w:t xml:space="preserve">Anna Seghers‘ Brief ist konzeptionell außerordentlich geschickt angelegt. Sie vermeidet </w:t>
      </w:r>
      <w:r w:rsidR="007E744C">
        <w:rPr>
          <w:rFonts w:cs="Times New Roman"/>
          <w:sz w:val="24"/>
          <w:szCs w:val="24"/>
        </w:rPr>
        <w:t>jeden Anklang an einen</w:t>
      </w:r>
      <w:r>
        <w:rPr>
          <w:rFonts w:cs="Times New Roman"/>
          <w:sz w:val="24"/>
          <w:szCs w:val="24"/>
        </w:rPr>
        <w:t xml:space="preserve"> formalen Ton, wendet sich an Lukács als einen </w:t>
      </w:r>
      <w:r w:rsidR="007E744C">
        <w:rPr>
          <w:rFonts w:cs="Times New Roman"/>
          <w:sz w:val="24"/>
          <w:szCs w:val="24"/>
        </w:rPr>
        <w:t xml:space="preserve">persönlichen </w:t>
      </w:r>
      <w:r>
        <w:rPr>
          <w:rFonts w:cs="Times New Roman"/>
          <w:sz w:val="24"/>
          <w:szCs w:val="24"/>
        </w:rPr>
        <w:t xml:space="preserve">Freund, </w:t>
      </w:r>
      <w:r w:rsidR="007E744C">
        <w:rPr>
          <w:rFonts w:cs="Times New Roman"/>
          <w:sz w:val="24"/>
          <w:szCs w:val="24"/>
        </w:rPr>
        <w:t xml:space="preserve">mit dem zu sprechen und – auch kontrovers – zu diskutieren für sie immer von großem Nutzen gewesen ist, und unterläuft damit den ansonsten fast </w:t>
      </w:r>
      <w:r w:rsidR="006768B0">
        <w:rPr>
          <w:rFonts w:cs="Times New Roman"/>
          <w:sz w:val="24"/>
          <w:szCs w:val="24"/>
        </w:rPr>
        <w:t>unvermeid</w:t>
      </w:r>
      <w:r w:rsidR="00862FC9">
        <w:rPr>
          <w:rFonts w:cs="Times New Roman"/>
          <w:sz w:val="24"/>
          <w:szCs w:val="24"/>
        </w:rPr>
        <w:t>lich</w:t>
      </w:r>
      <w:r w:rsidR="006768B0">
        <w:rPr>
          <w:rFonts w:cs="Times New Roman"/>
          <w:sz w:val="24"/>
          <w:szCs w:val="24"/>
        </w:rPr>
        <w:t>en</w:t>
      </w:r>
      <w:r w:rsidR="007E744C">
        <w:rPr>
          <w:rFonts w:cs="Times New Roman"/>
          <w:sz w:val="24"/>
          <w:szCs w:val="24"/>
        </w:rPr>
        <w:t xml:space="preserve"> konfrontativen Gestus. Gleichzeitig lässt sie </w:t>
      </w:r>
      <w:r w:rsidR="00A457CC">
        <w:rPr>
          <w:rFonts w:cs="Times New Roman"/>
          <w:sz w:val="24"/>
          <w:szCs w:val="24"/>
        </w:rPr>
        <w:t>von Anfang an</w:t>
      </w:r>
      <w:r w:rsidR="007E744C">
        <w:rPr>
          <w:rFonts w:cs="Times New Roman"/>
          <w:sz w:val="24"/>
          <w:szCs w:val="24"/>
        </w:rPr>
        <w:t xml:space="preserve"> keinen Zweifel aufkommen, dass sie in einigen Fragen anderer Auffassung ist als Lukács</w:t>
      </w:r>
      <w:r w:rsidR="0001661E">
        <w:rPr>
          <w:rFonts w:cs="Times New Roman"/>
          <w:sz w:val="24"/>
          <w:szCs w:val="24"/>
        </w:rPr>
        <w:t>:</w:t>
      </w:r>
    </w:p>
    <w:p w:rsidR="0001661E" w:rsidRDefault="0001661E" w:rsidP="006768B0">
      <w:pPr>
        <w:spacing w:after="0"/>
        <w:ind w:left="1134"/>
        <w:rPr>
          <w:rFonts w:cs="Times New Roman"/>
          <w:sz w:val="24"/>
          <w:szCs w:val="24"/>
        </w:rPr>
      </w:pPr>
      <w:r>
        <w:rPr>
          <w:rFonts w:cs="Times New Roman"/>
          <w:sz w:val="24"/>
          <w:szCs w:val="24"/>
        </w:rPr>
        <w:t>„Lieber Georg Lukács!</w:t>
      </w:r>
    </w:p>
    <w:p w:rsidR="0001661E" w:rsidRDefault="0001661E" w:rsidP="006768B0">
      <w:pPr>
        <w:spacing w:after="0"/>
        <w:ind w:left="1134"/>
        <w:rPr>
          <w:rFonts w:cs="Times New Roman"/>
          <w:sz w:val="24"/>
          <w:szCs w:val="24"/>
        </w:rPr>
      </w:pPr>
      <w:r>
        <w:rPr>
          <w:rFonts w:cs="Times New Roman"/>
          <w:sz w:val="24"/>
          <w:szCs w:val="24"/>
        </w:rPr>
        <w:t xml:space="preserve">Der Tisch, an dem wir unsern letzten Diskussionsabend hatten – ich glaube, es war in einem Lokal in der Friedrichstraße –, ist inzwischen ein sehr großer Tisch geworden. Du </w:t>
      </w:r>
      <w:r w:rsidR="007E744C">
        <w:rPr>
          <w:rFonts w:cs="Times New Roman"/>
          <w:sz w:val="24"/>
          <w:szCs w:val="24"/>
        </w:rPr>
        <w:t xml:space="preserve">sitzt sehr weit von mir weg. Trotzdem möchte ich in diesem Brief ungefähr dasselbe machen wie an einem solchen Diskussionsabend. Ich möchte keinen Beitrag ausarbeiten, ich möchte nur ein paar Fragen stellen, wo mir Deine eigenen Argumente unklar </w:t>
      </w:r>
      <w:r w:rsidR="006768B0">
        <w:rPr>
          <w:rFonts w:cs="Times New Roman"/>
          <w:sz w:val="24"/>
          <w:szCs w:val="24"/>
        </w:rPr>
        <w:t>blieben.“</w:t>
      </w:r>
      <w:r w:rsidR="006768B0">
        <w:rPr>
          <w:rStyle w:val="Funotenzeichen"/>
          <w:rFonts w:cs="Times New Roman"/>
          <w:sz w:val="24"/>
          <w:szCs w:val="24"/>
        </w:rPr>
        <w:footnoteReference w:id="31"/>
      </w:r>
    </w:p>
    <w:p w:rsidR="00C71BF7" w:rsidRDefault="00A76700" w:rsidP="00CA0424">
      <w:pPr>
        <w:spacing w:after="0"/>
        <w:rPr>
          <w:rFonts w:cs="Times New Roman"/>
          <w:sz w:val="24"/>
          <w:szCs w:val="24"/>
        </w:rPr>
      </w:pPr>
      <w:r>
        <w:rPr>
          <w:rFonts w:cs="Times New Roman"/>
          <w:sz w:val="24"/>
          <w:szCs w:val="24"/>
        </w:rPr>
        <w:t xml:space="preserve">Dem Brief liegt die Fiktion zugrunde, man sitze in einem Lokal an einem „gemeinsamen Tisch“ und tausche in aller Freundschaft Argumente aus. </w:t>
      </w:r>
      <w:r w:rsidR="0001661E">
        <w:rPr>
          <w:rFonts w:cs="Times New Roman"/>
          <w:sz w:val="24"/>
          <w:szCs w:val="24"/>
        </w:rPr>
        <w:t xml:space="preserve">Der </w:t>
      </w:r>
      <w:r w:rsidR="00862FC9">
        <w:rPr>
          <w:rFonts w:cs="Times New Roman"/>
          <w:sz w:val="24"/>
          <w:szCs w:val="24"/>
        </w:rPr>
        <w:t>zeitweilig sehr spontan</w:t>
      </w:r>
      <w:r>
        <w:rPr>
          <w:rFonts w:cs="Times New Roman"/>
          <w:sz w:val="24"/>
          <w:szCs w:val="24"/>
        </w:rPr>
        <w:t xml:space="preserve"> und </w:t>
      </w:r>
      <w:r w:rsidR="00A457CC">
        <w:rPr>
          <w:rFonts w:cs="Times New Roman"/>
          <w:sz w:val="24"/>
          <w:szCs w:val="24"/>
        </w:rPr>
        <w:t xml:space="preserve">ein </w:t>
      </w:r>
      <w:r>
        <w:rPr>
          <w:rFonts w:cs="Times New Roman"/>
          <w:sz w:val="24"/>
          <w:szCs w:val="24"/>
        </w:rPr>
        <w:t xml:space="preserve">wenig </w:t>
      </w:r>
      <w:r w:rsidR="00A457CC">
        <w:rPr>
          <w:rFonts w:cs="Times New Roman"/>
          <w:sz w:val="24"/>
          <w:szCs w:val="24"/>
        </w:rPr>
        <w:t xml:space="preserve">sprunghaft erscheinende </w:t>
      </w:r>
      <w:r w:rsidR="006768B0">
        <w:rPr>
          <w:rFonts w:cs="Times New Roman"/>
          <w:sz w:val="24"/>
          <w:szCs w:val="24"/>
        </w:rPr>
        <w:t>Sprachstil</w:t>
      </w:r>
      <w:r w:rsidR="0001661E">
        <w:rPr>
          <w:rFonts w:cs="Times New Roman"/>
          <w:sz w:val="24"/>
          <w:szCs w:val="24"/>
        </w:rPr>
        <w:t xml:space="preserve"> entbindet sie </w:t>
      </w:r>
      <w:r w:rsidR="006768B0">
        <w:rPr>
          <w:rFonts w:cs="Times New Roman"/>
          <w:sz w:val="24"/>
          <w:szCs w:val="24"/>
        </w:rPr>
        <w:t xml:space="preserve">vom Zwang </w:t>
      </w:r>
      <w:r w:rsidR="0001661E">
        <w:rPr>
          <w:rFonts w:cs="Times New Roman"/>
          <w:sz w:val="24"/>
          <w:szCs w:val="24"/>
        </w:rPr>
        <w:t xml:space="preserve">einer </w:t>
      </w:r>
      <w:r>
        <w:rPr>
          <w:rFonts w:cs="Times New Roman"/>
          <w:sz w:val="24"/>
          <w:szCs w:val="24"/>
        </w:rPr>
        <w:t>gleichbleibend</w:t>
      </w:r>
      <w:r w:rsidR="0001661E">
        <w:rPr>
          <w:rFonts w:cs="Times New Roman"/>
          <w:sz w:val="24"/>
          <w:szCs w:val="24"/>
        </w:rPr>
        <w:t xml:space="preserve"> stringenten Argumentation und eröffnet ihr damit die Möglichkeit, in scheinbarer </w:t>
      </w:r>
      <w:r>
        <w:rPr>
          <w:rFonts w:cs="Times New Roman"/>
          <w:sz w:val="24"/>
          <w:szCs w:val="24"/>
        </w:rPr>
        <w:t xml:space="preserve">Unbekümmertheit: </w:t>
      </w:r>
      <w:r w:rsidRPr="00E2751C">
        <w:rPr>
          <w:rFonts w:cs="Times New Roman"/>
          <w:sz w:val="24"/>
          <w:szCs w:val="24"/>
        </w:rPr>
        <w:t>„Du sitzt sehr weit von mir weg“</w:t>
      </w:r>
      <w:r>
        <w:rPr>
          <w:rFonts w:cs="Times New Roman"/>
          <w:sz w:val="24"/>
          <w:szCs w:val="24"/>
        </w:rPr>
        <w:t>,</w:t>
      </w:r>
      <w:r w:rsidR="0001661E">
        <w:rPr>
          <w:rFonts w:cs="Times New Roman"/>
          <w:sz w:val="24"/>
          <w:szCs w:val="24"/>
        </w:rPr>
        <w:t xml:space="preserve"> ihre abweichende Meinung klarer zu artikulieren, als es innerhalb eine</w:t>
      </w:r>
      <w:r w:rsidR="00A457CC">
        <w:rPr>
          <w:rFonts w:cs="Times New Roman"/>
          <w:sz w:val="24"/>
          <w:szCs w:val="24"/>
        </w:rPr>
        <w:t>r</w:t>
      </w:r>
      <w:r w:rsidR="0001661E">
        <w:rPr>
          <w:rFonts w:cs="Times New Roman"/>
          <w:sz w:val="24"/>
          <w:szCs w:val="24"/>
        </w:rPr>
        <w:t xml:space="preserve"> förmlichen </w:t>
      </w:r>
      <w:r w:rsidR="00A457CC">
        <w:rPr>
          <w:rFonts w:cs="Times New Roman"/>
          <w:sz w:val="24"/>
          <w:szCs w:val="24"/>
        </w:rPr>
        <w:t>Stellungnahme</w:t>
      </w:r>
      <w:r w:rsidR="0001661E">
        <w:rPr>
          <w:rFonts w:cs="Times New Roman"/>
          <w:sz w:val="24"/>
          <w:szCs w:val="24"/>
        </w:rPr>
        <w:t xml:space="preserve"> möglich wäre</w:t>
      </w:r>
      <w:r>
        <w:rPr>
          <w:rFonts w:cs="Times New Roman"/>
          <w:sz w:val="24"/>
          <w:szCs w:val="24"/>
        </w:rPr>
        <w:t>.</w:t>
      </w:r>
      <w:r w:rsidRPr="00A76700">
        <w:rPr>
          <w:rFonts w:cs="Times New Roman"/>
          <w:sz w:val="24"/>
          <w:szCs w:val="24"/>
        </w:rPr>
        <w:t xml:space="preserve"> </w:t>
      </w:r>
    </w:p>
    <w:p w:rsidR="0057343A" w:rsidRDefault="00A76700" w:rsidP="00CA0424">
      <w:pPr>
        <w:spacing w:after="0"/>
        <w:rPr>
          <w:rFonts w:cs="Times New Roman"/>
          <w:sz w:val="24"/>
          <w:szCs w:val="24"/>
        </w:rPr>
      </w:pPr>
      <w:r>
        <w:rPr>
          <w:rFonts w:cs="Times New Roman"/>
          <w:sz w:val="24"/>
          <w:szCs w:val="24"/>
        </w:rPr>
        <w:lastRenderedPageBreak/>
        <w:tab/>
        <w:t xml:space="preserve">Das Einstiegsthema des ersten Briefes sind die </w:t>
      </w:r>
      <w:r w:rsidR="00597406">
        <w:rPr>
          <w:rFonts w:cs="Times New Roman"/>
          <w:sz w:val="24"/>
          <w:szCs w:val="24"/>
        </w:rPr>
        <w:t>„Krisenzeiten“, die gesellschaftlichen Umbruchphasen, die</w:t>
      </w:r>
      <w:r w:rsidR="000559DD">
        <w:rPr>
          <w:rFonts w:cs="Times New Roman"/>
          <w:sz w:val="24"/>
          <w:szCs w:val="24"/>
        </w:rPr>
        <w:t>, so Anna Seghers,</w:t>
      </w:r>
      <w:r w:rsidR="00597406">
        <w:rPr>
          <w:rFonts w:cs="Times New Roman"/>
          <w:sz w:val="24"/>
          <w:szCs w:val="24"/>
        </w:rPr>
        <w:t xml:space="preserve"> </w:t>
      </w:r>
      <w:r w:rsidR="00945B9B">
        <w:rPr>
          <w:rFonts w:cs="Times New Roman"/>
          <w:sz w:val="24"/>
          <w:szCs w:val="24"/>
        </w:rPr>
        <w:t xml:space="preserve">sich </w:t>
      </w:r>
      <w:r w:rsidR="00597406">
        <w:rPr>
          <w:rFonts w:cs="Times New Roman"/>
          <w:sz w:val="24"/>
          <w:szCs w:val="24"/>
        </w:rPr>
        <w:t>„durch jähe Stilbrüche, durch Experimente, durch sonderbare Mischformen“ auszeichnen, auch durch „Fehlschläge und Leerläufe“, wobei Anna Seghers sofort hinzusetzt, dass sie zweifle, „ob manche Versuche überhaupt Leerläufe waren.“</w:t>
      </w:r>
      <w:r w:rsidR="00597406">
        <w:rPr>
          <w:rStyle w:val="Funotenzeichen"/>
          <w:rFonts w:cs="Times New Roman"/>
          <w:sz w:val="24"/>
          <w:szCs w:val="24"/>
        </w:rPr>
        <w:footnoteReference w:id="32"/>
      </w:r>
      <w:r w:rsidR="00597406">
        <w:rPr>
          <w:rFonts w:cs="Times New Roman"/>
          <w:sz w:val="24"/>
          <w:szCs w:val="24"/>
        </w:rPr>
        <w:t xml:space="preserve"> </w:t>
      </w:r>
    </w:p>
    <w:p w:rsidR="00A76700" w:rsidRDefault="0057343A" w:rsidP="00CA0424">
      <w:pPr>
        <w:spacing w:after="0"/>
        <w:rPr>
          <w:rFonts w:cs="Times New Roman"/>
          <w:sz w:val="24"/>
          <w:szCs w:val="24"/>
        </w:rPr>
      </w:pPr>
      <w:r>
        <w:rPr>
          <w:rFonts w:cs="Times New Roman"/>
          <w:sz w:val="24"/>
          <w:szCs w:val="24"/>
        </w:rPr>
        <w:tab/>
      </w:r>
      <w:r w:rsidR="00A457CC">
        <w:rPr>
          <w:rFonts w:cs="Times New Roman"/>
          <w:sz w:val="24"/>
          <w:szCs w:val="24"/>
        </w:rPr>
        <w:t>Damit ist sie direkt bei</w:t>
      </w:r>
      <w:r>
        <w:rPr>
          <w:rFonts w:cs="Times New Roman"/>
          <w:sz w:val="24"/>
          <w:szCs w:val="24"/>
        </w:rPr>
        <w:t xml:space="preserve"> de</w:t>
      </w:r>
      <w:r w:rsidR="00A457CC">
        <w:rPr>
          <w:rFonts w:cs="Times New Roman"/>
          <w:sz w:val="24"/>
          <w:szCs w:val="24"/>
        </w:rPr>
        <w:t xml:space="preserve">m Vorwurf angelangt, Stilbrüche und Experimente seien </w:t>
      </w:r>
      <w:r>
        <w:rPr>
          <w:rFonts w:cs="Times New Roman"/>
          <w:sz w:val="24"/>
          <w:szCs w:val="24"/>
        </w:rPr>
        <w:t xml:space="preserve">bereits </w:t>
      </w:r>
      <w:r w:rsidR="00A457CC">
        <w:rPr>
          <w:rFonts w:cs="Times New Roman"/>
          <w:sz w:val="24"/>
          <w:szCs w:val="24"/>
        </w:rPr>
        <w:t xml:space="preserve">Zeichen von „Dekadenz“. </w:t>
      </w:r>
      <w:r>
        <w:rPr>
          <w:rFonts w:cs="Times New Roman"/>
          <w:sz w:val="24"/>
          <w:szCs w:val="24"/>
        </w:rPr>
        <w:t xml:space="preserve">Um die </w:t>
      </w:r>
      <w:r w:rsidR="00945B9B">
        <w:rPr>
          <w:rFonts w:cs="Times New Roman"/>
          <w:sz w:val="24"/>
          <w:szCs w:val="24"/>
        </w:rPr>
        <w:t xml:space="preserve">Inadäquatheit eines derartigen Urteils zu demonstrieren, </w:t>
      </w:r>
      <w:r>
        <w:rPr>
          <w:rFonts w:cs="Times New Roman"/>
          <w:sz w:val="24"/>
          <w:szCs w:val="24"/>
        </w:rPr>
        <w:t xml:space="preserve">weist sie auf </w:t>
      </w:r>
      <w:r w:rsidR="00A457CC">
        <w:rPr>
          <w:rFonts w:cs="Times New Roman"/>
          <w:sz w:val="24"/>
          <w:szCs w:val="24"/>
        </w:rPr>
        <w:t>d</w:t>
      </w:r>
      <w:r w:rsidR="00945B9B">
        <w:rPr>
          <w:rFonts w:cs="Times New Roman"/>
          <w:sz w:val="24"/>
          <w:szCs w:val="24"/>
        </w:rPr>
        <w:t>i</w:t>
      </w:r>
      <w:r w:rsidR="00A457CC">
        <w:rPr>
          <w:rFonts w:cs="Times New Roman"/>
          <w:sz w:val="24"/>
          <w:szCs w:val="24"/>
        </w:rPr>
        <w:t xml:space="preserve">e </w:t>
      </w:r>
      <w:r w:rsidR="00945B9B">
        <w:rPr>
          <w:rFonts w:cs="Times New Roman"/>
          <w:sz w:val="24"/>
          <w:szCs w:val="24"/>
        </w:rPr>
        <w:t xml:space="preserve">herkömmliche Abwertung </w:t>
      </w:r>
      <w:r w:rsidR="00A457CC">
        <w:rPr>
          <w:rFonts w:cs="Times New Roman"/>
          <w:sz w:val="24"/>
          <w:szCs w:val="24"/>
        </w:rPr>
        <w:t>d</w:t>
      </w:r>
      <w:r>
        <w:rPr>
          <w:rFonts w:cs="Times New Roman"/>
          <w:sz w:val="24"/>
          <w:szCs w:val="24"/>
        </w:rPr>
        <w:t>er</w:t>
      </w:r>
      <w:r w:rsidR="00A457CC">
        <w:rPr>
          <w:rFonts w:cs="Times New Roman"/>
          <w:sz w:val="24"/>
          <w:szCs w:val="24"/>
        </w:rPr>
        <w:t xml:space="preserve"> Romantik</w:t>
      </w:r>
      <w:r w:rsidR="002B5E45">
        <w:rPr>
          <w:rFonts w:cs="Times New Roman"/>
          <w:sz w:val="24"/>
          <w:szCs w:val="24"/>
        </w:rPr>
        <w:t xml:space="preserve"> hin</w:t>
      </w:r>
      <w:r w:rsidR="00A457CC">
        <w:rPr>
          <w:rFonts w:cs="Times New Roman"/>
          <w:sz w:val="24"/>
          <w:szCs w:val="24"/>
        </w:rPr>
        <w:t xml:space="preserve">, </w:t>
      </w:r>
      <w:r>
        <w:rPr>
          <w:rFonts w:cs="Times New Roman"/>
          <w:sz w:val="24"/>
          <w:szCs w:val="24"/>
        </w:rPr>
        <w:t xml:space="preserve">die sich </w:t>
      </w:r>
      <w:r w:rsidR="002B5E45">
        <w:rPr>
          <w:rFonts w:cs="Times New Roman"/>
          <w:sz w:val="24"/>
          <w:szCs w:val="24"/>
        </w:rPr>
        <w:t>ihrerseits</w:t>
      </w:r>
      <w:r w:rsidR="00A457CC">
        <w:rPr>
          <w:rFonts w:cs="Times New Roman"/>
          <w:sz w:val="24"/>
          <w:szCs w:val="24"/>
        </w:rPr>
        <w:t xml:space="preserve"> an Goethes Diktum</w:t>
      </w:r>
      <w:r>
        <w:rPr>
          <w:rFonts w:cs="Times New Roman"/>
          <w:sz w:val="24"/>
          <w:szCs w:val="24"/>
        </w:rPr>
        <w:t xml:space="preserve"> orientiert</w:t>
      </w:r>
      <w:r w:rsidR="00945B9B">
        <w:rPr>
          <w:rFonts w:cs="Times New Roman"/>
          <w:sz w:val="24"/>
          <w:szCs w:val="24"/>
        </w:rPr>
        <w:t>:</w:t>
      </w:r>
      <w:r w:rsidR="00A457CC">
        <w:rPr>
          <w:rFonts w:cs="Times New Roman"/>
          <w:sz w:val="24"/>
          <w:szCs w:val="24"/>
        </w:rPr>
        <w:t xml:space="preserve"> „</w:t>
      </w:r>
      <w:r w:rsidR="00945B9B">
        <w:rPr>
          <w:rFonts w:cs="Times New Roman"/>
          <w:sz w:val="24"/>
          <w:szCs w:val="24"/>
        </w:rPr>
        <w:t>Das K</w:t>
      </w:r>
      <w:r w:rsidR="00A457CC">
        <w:rPr>
          <w:rFonts w:cs="Times New Roman"/>
          <w:sz w:val="24"/>
          <w:szCs w:val="24"/>
        </w:rPr>
        <w:t>lassisch</w:t>
      </w:r>
      <w:r w:rsidR="00945B9B">
        <w:rPr>
          <w:rFonts w:cs="Times New Roman"/>
          <w:sz w:val="24"/>
          <w:szCs w:val="24"/>
        </w:rPr>
        <w:t>e nenne ich das</w:t>
      </w:r>
      <w:r w:rsidR="00A457CC">
        <w:rPr>
          <w:rFonts w:cs="Times New Roman"/>
          <w:sz w:val="24"/>
          <w:szCs w:val="24"/>
        </w:rPr>
        <w:t xml:space="preserve"> </w:t>
      </w:r>
      <w:r w:rsidR="00945B9B">
        <w:rPr>
          <w:rFonts w:cs="Times New Roman"/>
          <w:sz w:val="24"/>
          <w:szCs w:val="24"/>
        </w:rPr>
        <w:t>G</w:t>
      </w:r>
      <w:r w:rsidR="00A457CC">
        <w:rPr>
          <w:rFonts w:cs="Times New Roman"/>
          <w:sz w:val="24"/>
          <w:szCs w:val="24"/>
        </w:rPr>
        <w:t>esund</w:t>
      </w:r>
      <w:r w:rsidR="00945B9B">
        <w:rPr>
          <w:rFonts w:cs="Times New Roman"/>
          <w:sz w:val="24"/>
          <w:szCs w:val="24"/>
        </w:rPr>
        <w:t>e und das R</w:t>
      </w:r>
      <w:r w:rsidR="00A457CC">
        <w:rPr>
          <w:rFonts w:cs="Times New Roman"/>
          <w:sz w:val="24"/>
          <w:szCs w:val="24"/>
        </w:rPr>
        <w:t>omantisch</w:t>
      </w:r>
      <w:r w:rsidR="00945B9B">
        <w:rPr>
          <w:rFonts w:cs="Times New Roman"/>
          <w:sz w:val="24"/>
          <w:szCs w:val="24"/>
        </w:rPr>
        <w:t>e</w:t>
      </w:r>
      <w:r w:rsidR="00A457CC">
        <w:rPr>
          <w:rFonts w:cs="Times New Roman"/>
          <w:sz w:val="24"/>
          <w:szCs w:val="24"/>
        </w:rPr>
        <w:t xml:space="preserve"> </w:t>
      </w:r>
      <w:r w:rsidR="00945B9B">
        <w:rPr>
          <w:rFonts w:cs="Times New Roman"/>
          <w:sz w:val="24"/>
          <w:szCs w:val="24"/>
        </w:rPr>
        <w:t>das K</w:t>
      </w:r>
      <w:r w:rsidR="00A457CC">
        <w:rPr>
          <w:rFonts w:cs="Times New Roman"/>
          <w:sz w:val="24"/>
          <w:szCs w:val="24"/>
        </w:rPr>
        <w:t>rank</w:t>
      </w:r>
      <w:r w:rsidR="00945B9B">
        <w:rPr>
          <w:rFonts w:cs="Times New Roman"/>
          <w:sz w:val="24"/>
          <w:szCs w:val="24"/>
        </w:rPr>
        <w:t>e</w:t>
      </w:r>
      <w:r w:rsidR="00A457CC">
        <w:rPr>
          <w:rFonts w:cs="Times New Roman"/>
          <w:sz w:val="24"/>
          <w:szCs w:val="24"/>
        </w:rPr>
        <w:t xml:space="preserve">“. </w:t>
      </w:r>
      <w:r>
        <w:rPr>
          <w:rFonts w:cs="Times New Roman"/>
          <w:sz w:val="24"/>
          <w:szCs w:val="24"/>
        </w:rPr>
        <w:t xml:space="preserve">Dass Goethe </w:t>
      </w:r>
      <w:r w:rsidR="002B5E45">
        <w:rPr>
          <w:rFonts w:cs="Times New Roman"/>
          <w:sz w:val="24"/>
          <w:szCs w:val="24"/>
        </w:rPr>
        <w:t>keineswegs immer, auch nicht in literarischen Fragen,</w:t>
      </w:r>
      <w:r>
        <w:rPr>
          <w:rFonts w:cs="Times New Roman"/>
          <w:sz w:val="24"/>
          <w:szCs w:val="24"/>
        </w:rPr>
        <w:t xml:space="preserve"> als Autorität in Anspruch genommen werden darf, zeigt sie an</w:t>
      </w:r>
      <w:r w:rsidR="000559DD">
        <w:rPr>
          <w:rFonts w:cs="Times New Roman"/>
          <w:sz w:val="24"/>
          <w:szCs w:val="24"/>
        </w:rPr>
        <w:t xml:space="preserve"> </w:t>
      </w:r>
      <w:r w:rsidR="00597406">
        <w:rPr>
          <w:rFonts w:cs="Times New Roman"/>
          <w:sz w:val="24"/>
          <w:szCs w:val="24"/>
        </w:rPr>
        <w:t>Goethes Fehlurteil über Kleist und sein</w:t>
      </w:r>
      <w:r>
        <w:rPr>
          <w:rFonts w:cs="Times New Roman"/>
          <w:sz w:val="24"/>
          <w:szCs w:val="24"/>
        </w:rPr>
        <w:t>em</w:t>
      </w:r>
      <w:r w:rsidR="00597406">
        <w:rPr>
          <w:rFonts w:cs="Times New Roman"/>
          <w:sz w:val="24"/>
          <w:szCs w:val="24"/>
        </w:rPr>
        <w:t xml:space="preserve"> positive</w:t>
      </w:r>
      <w:r>
        <w:rPr>
          <w:rFonts w:cs="Times New Roman"/>
          <w:sz w:val="24"/>
          <w:szCs w:val="24"/>
        </w:rPr>
        <w:t>n</w:t>
      </w:r>
      <w:r w:rsidR="00597406">
        <w:rPr>
          <w:rFonts w:cs="Times New Roman"/>
          <w:sz w:val="24"/>
          <w:szCs w:val="24"/>
        </w:rPr>
        <w:t xml:space="preserve"> Urteil über Zacharias Werner</w:t>
      </w:r>
      <w:r w:rsidR="002B5E45">
        <w:rPr>
          <w:rFonts w:cs="Times New Roman"/>
          <w:sz w:val="24"/>
          <w:szCs w:val="24"/>
        </w:rPr>
        <w:t xml:space="preserve"> auf</w:t>
      </w:r>
      <w:r w:rsidR="00597406">
        <w:rPr>
          <w:rFonts w:cs="Times New Roman"/>
          <w:sz w:val="24"/>
          <w:szCs w:val="24"/>
        </w:rPr>
        <w:t xml:space="preserve">, „den heute kein Mensch mehr kennt“, „einen mittelmäßigen Spießer, </w:t>
      </w:r>
      <w:r w:rsidR="00597406" w:rsidRPr="00597406">
        <w:rPr>
          <w:rFonts w:cs="Times New Roman"/>
          <w:i/>
          <w:sz w:val="24"/>
          <w:szCs w:val="24"/>
        </w:rPr>
        <w:t>der in methodischen Fragen mit ihm auf einem Boden stand</w:t>
      </w:r>
      <w:r w:rsidR="00597406">
        <w:rPr>
          <w:rFonts w:cs="Times New Roman"/>
          <w:sz w:val="24"/>
          <w:szCs w:val="24"/>
        </w:rPr>
        <w:t>“.</w:t>
      </w:r>
      <w:r w:rsidR="00597406">
        <w:rPr>
          <w:rStyle w:val="Funotenzeichen"/>
          <w:rFonts w:cs="Times New Roman"/>
          <w:sz w:val="24"/>
          <w:szCs w:val="24"/>
        </w:rPr>
        <w:footnoteReference w:id="33"/>
      </w:r>
      <w:r w:rsidR="00597406">
        <w:rPr>
          <w:rFonts w:cs="Times New Roman"/>
          <w:sz w:val="24"/>
          <w:szCs w:val="24"/>
        </w:rPr>
        <w:t xml:space="preserve"> </w:t>
      </w:r>
      <w:r w:rsidR="000559DD">
        <w:rPr>
          <w:rFonts w:cs="Times New Roman"/>
          <w:sz w:val="24"/>
          <w:szCs w:val="24"/>
        </w:rPr>
        <w:t xml:space="preserve">– Das sind doppelbödige, vergiftete Formulierungen, in denen mit Hilfe von Begriffen – „Versuche“, „Experimente“, „Methode“ – direkt auf den kontroversesten Teil der Expressionismus-Debatte Bezug genommen wird. Das Wort „Versuche“ spielt unmittelbar auf den </w:t>
      </w:r>
      <w:proofErr w:type="spellStart"/>
      <w:r w:rsidR="000559DD">
        <w:rPr>
          <w:rFonts w:cs="Times New Roman"/>
          <w:sz w:val="24"/>
          <w:szCs w:val="24"/>
        </w:rPr>
        <w:t>Brechtschen</w:t>
      </w:r>
      <w:proofErr w:type="spellEnd"/>
      <w:r w:rsidR="000559DD">
        <w:rPr>
          <w:rFonts w:cs="Times New Roman"/>
          <w:sz w:val="24"/>
          <w:szCs w:val="24"/>
        </w:rPr>
        <w:t xml:space="preserve"> </w:t>
      </w:r>
      <w:proofErr w:type="spellStart"/>
      <w:r w:rsidR="000559DD">
        <w:rPr>
          <w:rFonts w:cs="Times New Roman"/>
          <w:sz w:val="24"/>
          <w:szCs w:val="24"/>
        </w:rPr>
        <w:t>Œuvre</w:t>
      </w:r>
      <w:proofErr w:type="spellEnd"/>
      <w:r w:rsidR="000559DD">
        <w:rPr>
          <w:rFonts w:cs="Times New Roman"/>
          <w:sz w:val="24"/>
          <w:szCs w:val="24"/>
        </w:rPr>
        <w:t>-Katalog an</w:t>
      </w:r>
      <w:r w:rsidR="002B5E45">
        <w:rPr>
          <w:rFonts w:cs="Times New Roman"/>
          <w:sz w:val="24"/>
          <w:szCs w:val="24"/>
        </w:rPr>
        <w:t>;</w:t>
      </w:r>
      <w:r>
        <w:rPr>
          <w:rFonts w:cs="Times New Roman"/>
          <w:sz w:val="24"/>
          <w:szCs w:val="24"/>
        </w:rPr>
        <w:t xml:space="preserve"> </w:t>
      </w:r>
      <w:r w:rsidR="002B5E45">
        <w:rPr>
          <w:rFonts w:cs="Times New Roman"/>
          <w:sz w:val="24"/>
          <w:szCs w:val="24"/>
        </w:rPr>
        <w:t xml:space="preserve">Brecht veröffentliche </w:t>
      </w:r>
      <w:r>
        <w:rPr>
          <w:rFonts w:cs="Times New Roman"/>
          <w:sz w:val="24"/>
          <w:szCs w:val="24"/>
        </w:rPr>
        <w:t xml:space="preserve">seine Arbeiten </w:t>
      </w:r>
      <w:r w:rsidR="002B5E45">
        <w:rPr>
          <w:rFonts w:cs="Times New Roman"/>
          <w:sz w:val="24"/>
          <w:szCs w:val="24"/>
        </w:rPr>
        <w:t>bekanntlich unter dem Titel</w:t>
      </w:r>
      <w:r>
        <w:rPr>
          <w:rFonts w:cs="Times New Roman"/>
          <w:sz w:val="24"/>
          <w:szCs w:val="24"/>
        </w:rPr>
        <w:t xml:space="preserve"> „Versuche“</w:t>
      </w:r>
      <w:r w:rsidR="002B5E45">
        <w:rPr>
          <w:rFonts w:cs="Times New Roman"/>
          <w:sz w:val="24"/>
          <w:szCs w:val="24"/>
        </w:rPr>
        <w:t>.</w:t>
      </w:r>
      <w:r>
        <w:rPr>
          <w:rFonts w:cs="Times New Roman"/>
          <w:sz w:val="24"/>
          <w:szCs w:val="24"/>
        </w:rPr>
        <w:t xml:space="preserve"> </w:t>
      </w:r>
      <w:r w:rsidR="002B5E45">
        <w:rPr>
          <w:rFonts w:cs="Times New Roman"/>
          <w:sz w:val="24"/>
          <w:szCs w:val="24"/>
        </w:rPr>
        <w:t>D</w:t>
      </w:r>
      <w:r w:rsidR="00AF47DF">
        <w:rPr>
          <w:rFonts w:cs="Times New Roman"/>
          <w:sz w:val="24"/>
          <w:szCs w:val="24"/>
        </w:rPr>
        <w:t xml:space="preserve">er Hinweis auf die „Methode“ </w:t>
      </w:r>
      <w:r w:rsidR="002B5E45">
        <w:rPr>
          <w:rFonts w:cs="Times New Roman"/>
          <w:sz w:val="24"/>
          <w:szCs w:val="24"/>
        </w:rPr>
        <w:t xml:space="preserve">und ihren Vorrang </w:t>
      </w:r>
      <w:r w:rsidR="00AF47DF">
        <w:rPr>
          <w:rFonts w:cs="Times New Roman"/>
          <w:sz w:val="24"/>
          <w:szCs w:val="24"/>
        </w:rPr>
        <w:t xml:space="preserve">polemisiert </w:t>
      </w:r>
      <w:r w:rsidR="002B5E45">
        <w:rPr>
          <w:rFonts w:cs="Times New Roman"/>
          <w:sz w:val="24"/>
          <w:szCs w:val="24"/>
        </w:rPr>
        <w:t xml:space="preserve">implizit </w:t>
      </w:r>
      <w:r w:rsidR="00AF47DF">
        <w:rPr>
          <w:rFonts w:cs="Times New Roman"/>
          <w:sz w:val="24"/>
          <w:szCs w:val="24"/>
        </w:rPr>
        <w:t>dagegen, dass das „spezifisch Künstlerische“ einzig auf die Methode reduziert wird</w:t>
      </w:r>
      <w:r w:rsidR="000559DD">
        <w:rPr>
          <w:rFonts w:cs="Times New Roman"/>
          <w:sz w:val="24"/>
          <w:szCs w:val="24"/>
        </w:rPr>
        <w:t>.</w:t>
      </w:r>
      <w:r w:rsidR="00AF47DF">
        <w:rPr>
          <w:rFonts w:cs="Times New Roman"/>
          <w:sz w:val="24"/>
          <w:szCs w:val="24"/>
        </w:rPr>
        <w:t xml:space="preserve"> </w:t>
      </w:r>
    </w:p>
    <w:p w:rsidR="00A76700" w:rsidRDefault="00AF47DF" w:rsidP="00CA0424">
      <w:pPr>
        <w:spacing w:after="0"/>
        <w:rPr>
          <w:rFonts w:cs="Times New Roman"/>
          <w:sz w:val="24"/>
          <w:szCs w:val="24"/>
        </w:rPr>
      </w:pPr>
      <w:r>
        <w:rPr>
          <w:rFonts w:cs="Times New Roman"/>
          <w:sz w:val="24"/>
          <w:szCs w:val="24"/>
        </w:rPr>
        <w:tab/>
        <w:t>Der Hinweis auf die Romantik dient Anna Seghers dazu, auf die Faszination hinzuweisen, die von dieser Epoche und der sie bestimmenden Schriftsteller</w:t>
      </w:r>
      <w:r w:rsidR="002B5E45">
        <w:rPr>
          <w:rFonts w:cs="Times New Roman"/>
          <w:sz w:val="24"/>
          <w:szCs w:val="24"/>
        </w:rPr>
        <w:t>g</w:t>
      </w:r>
      <w:r>
        <w:rPr>
          <w:rFonts w:cs="Times New Roman"/>
          <w:sz w:val="24"/>
          <w:szCs w:val="24"/>
        </w:rPr>
        <w:t xml:space="preserve">eneration ausgeht. </w:t>
      </w:r>
      <w:r w:rsidR="0041527D">
        <w:rPr>
          <w:rFonts w:cs="Times New Roman"/>
          <w:sz w:val="24"/>
          <w:szCs w:val="24"/>
        </w:rPr>
        <w:t xml:space="preserve">Ihr Vorgehen ist subversiv: </w:t>
      </w:r>
      <w:r>
        <w:rPr>
          <w:rFonts w:cs="Times New Roman"/>
          <w:sz w:val="24"/>
          <w:szCs w:val="24"/>
        </w:rPr>
        <w:t xml:space="preserve">Sie verbindet dabei die Namen </w:t>
      </w:r>
      <w:r w:rsidR="0041527D">
        <w:rPr>
          <w:rFonts w:cs="Times New Roman"/>
          <w:sz w:val="24"/>
          <w:szCs w:val="24"/>
        </w:rPr>
        <w:t xml:space="preserve">der Schriftsteller </w:t>
      </w:r>
      <w:r>
        <w:rPr>
          <w:rFonts w:cs="Times New Roman"/>
          <w:sz w:val="24"/>
          <w:szCs w:val="24"/>
        </w:rPr>
        <w:t xml:space="preserve">mit den </w:t>
      </w:r>
      <w:r w:rsidR="006729ED">
        <w:rPr>
          <w:rFonts w:cs="Times New Roman"/>
          <w:sz w:val="24"/>
          <w:szCs w:val="24"/>
        </w:rPr>
        <w:t>Todesd</w:t>
      </w:r>
      <w:r>
        <w:rPr>
          <w:rFonts w:cs="Times New Roman"/>
          <w:sz w:val="24"/>
          <w:szCs w:val="24"/>
        </w:rPr>
        <w:t xml:space="preserve">aten </w:t>
      </w:r>
      <w:r w:rsidR="0041527D">
        <w:rPr>
          <w:rFonts w:cs="Times New Roman"/>
          <w:sz w:val="24"/>
          <w:szCs w:val="24"/>
        </w:rPr>
        <w:t>sowie mit</w:t>
      </w:r>
      <w:r>
        <w:rPr>
          <w:rFonts w:cs="Times New Roman"/>
          <w:sz w:val="24"/>
          <w:szCs w:val="24"/>
        </w:rPr>
        <w:t xml:space="preserve"> den Umständen </w:t>
      </w:r>
      <w:r w:rsidR="0041527D">
        <w:rPr>
          <w:rFonts w:cs="Times New Roman"/>
          <w:sz w:val="24"/>
          <w:szCs w:val="24"/>
        </w:rPr>
        <w:t>ihr</w:t>
      </w:r>
      <w:r>
        <w:rPr>
          <w:rFonts w:cs="Times New Roman"/>
          <w:sz w:val="24"/>
          <w:szCs w:val="24"/>
        </w:rPr>
        <w:t>es Todes:</w:t>
      </w:r>
    </w:p>
    <w:p w:rsidR="006729ED" w:rsidRDefault="006729ED" w:rsidP="006729ED">
      <w:pPr>
        <w:spacing w:after="0"/>
        <w:ind w:left="1134"/>
        <w:rPr>
          <w:rFonts w:cs="Times New Roman"/>
          <w:sz w:val="24"/>
          <w:szCs w:val="24"/>
        </w:rPr>
      </w:pPr>
      <w:r>
        <w:rPr>
          <w:rFonts w:cs="Times New Roman"/>
          <w:sz w:val="24"/>
          <w:szCs w:val="24"/>
        </w:rPr>
        <w:t xml:space="preserve">„[E]s starb Kleist 1811 durch Selbstmord, es starb Lenz 1792 im Wahnsinn, Hölderlin starb 1843, seit 1804 in Wahnsinn, es starb Bürger 1794 geisteskrank, es starb die Günderode durch Selbstmord usw. usw.“ </w:t>
      </w:r>
      <w:r>
        <w:rPr>
          <w:rStyle w:val="Funotenzeichen"/>
          <w:rFonts w:cs="Times New Roman"/>
          <w:sz w:val="24"/>
          <w:szCs w:val="24"/>
        </w:rPr>
        <w:footnoteReference w:id="34"/>
      </w:r>
    </w:p>
    <w:p w:rsidR="008130B3" w:rsidRDefault="006729ED" w:rsidP="00CA0424">
      <w:pPr>
        <w:spacing w:after="0"/>
        <w:rPr>
          <w:rFonts w:cs="Times New Roman"/>
          <w:sz w:val="24"/>
          <w:szCs w:val="24"/>
        </w:rPr>
      </w:pPr>
      <w:r>
        <w:rPr>
          <w:rFonts w:cs="Times New Roman"/>
          <w:sz w:val="24"/>
          <w:szCs w:val="24"/>
        </w:rPr>
        <w:t xml:space="preserve">„Selbstmord“ und „Wahnsinn“ sind für Anna Seghers also keineswegs Merkmale von „Dekadenz“, sondern – dieses Argument steht unausgesprochen hinter dieser Aufzählung von Todesumständen – ein Zeichen, dass die Zeit, die „Epoche“, </w:t>
      </w:r>
      <w:r w:rsidR="000B5F5E">
        <w:rPr>
          <w:rFonts w:cs="Times New Roman"/>
          <w:sz w:val="24"/>
          <w:szCs w:val="24"/>
        </w:rPr>
        <w:t xml:space="preserve">sich in einer Krise befindet. </w:t>
      </w:r>
      <w:r w:rsidR="000B5F5E" w:rsidRPr="0041527D">
        <w:rPr>
          <w:rFonts w:cs="Times New Roman"/>
          <w:i/>
          <w:sz w:val="24"/>
          <w:szCs w:val="24"/>
        </w:rPr>
        <w:t>Es ist der</w:t>
      </w:r>
      <w:r w:rsidR="000B5F5E">
        <w:rPr>
          <w:rFonts w:cs="Times New Roman"/>
          <w:sz w:val="24"/>
          <w:szCs w:val="24"/>
        </w:rPr>
        <w:t xml:space="preserve"> </w:t>
      </w:r>
      <w:r w:rsidR="000B5F5E">
        <w:rPr>
          <w:rFonts w:cs="Times New Roman"/>
          <w:i/>
          <w:sz w:val="24"/>
          <w:szCs w:val="24"/>
        </w:rPr>
        <w:t>Blick auf die Realität</w:t>
      </w:r>
      <w:r w:rsidR="000B5F5E">
        <w:rPr>
          <w:rFonts w:cs="Times New Roman"/>
          <w:sz w:val="24"/>
          <w:szCs w:val="24"/>
        </w:rPr>
        <w:t>, der die Künstler erschüttert</w:t>
      </w:r>
      <w:r w:rsidR="0041527D">
        <w:rPr>
          <w:rFonts w:cs="Times New Roman"/>
          <w:sz w:val="24"/>
          <w:szCs w:val="24"/>
        </w:rPr>
        <w:t xml:space="preserve"> und in den Tod treibt:</w:t>
      </w:r>
    </w:p>
    <w:p w:rsidR="000B5F5E" w:rsidRPr="000B5F5E" w:rsidRDefault="000B5F5E" w:rsidP="000B5F5E">
      <w:pPr>
        <w:spacing w:after="0"/>
        <w:ind w:left="1134"/>
        <w:rPr>
          <w:rFonts w:cs="Times New Roman"/>
          <w:sz w:val="24"/>
          <w:szCs w:val="24"/>
        </w:rPr>
      </w:pPr>
      <w:r>
        <w:rPr>
          <w:rFonts w:cs="Times New Roman"/>
          <w:sz w:val="24"/>
          <w:szCs w:val="24"/>
        </w:rPr>
        <w:t xml:space="preserve">„Diese Realität der Krisenzeit, der Kriege usw. </w:t>
      </w:r>
      <w:proofErr w:type="spellStart"/>
      <w:r>
        <w:rPr>
          <w:rFonts w:cs="Times New Roman"/>
          <w:sz w:val="24"/>
          <w:szCs w:val="24"/>
        </w:rPr>
        <w:t>muß</w:t>
      </w:r>
      <w:proofErr w:type="spellEnd"/>
      <w:r>
        <w:rPr>
          <w:rFonts w:cs="Times New Roman"/>
          <w:sz w:val="24"/>
          <w:szCs w:val="24"/>
        </w:rPr>
        <w:t xml:space="preserve"> also erstens ertragen, es </w:t>
      </w:r>
      <w:proofErr w:type="spellStart"/>
      <w:r>
        <w:rPr>
          <w:rFonts w:cs="Times New Roman"/>
          <w:sz w:val="24"/>
          <w:szCs w:val="24"/>
        </w:rPr>
        <w:t>muß</w:t>
      </w:r>
      <w:proofErr w:type="spellEnd"/>
      <w:r>
        <w:rPr>
          <w:rFonts w:cs="Times New Roman"/>
          <w:sz w:val="24"/>
          <w:szCs w:val="24"/>
        </w:rPr>
        <w:t xml:space="preserve"> ihr ins Auge gesehen und zweitens </w:t>
      </w:r>
      <w:proofErr w:type="spellStart"/>
      <w:r>
        <w:rPr>
          <w:rFonts w:cs="Times New Roman"/>
          <w:sz w:val="24"/>
          <w:szCs w:val="24"/>
        </w:rPr>
        <w:t>muß</w:t>
      </w:r>
      <w:proofErr w:type="spellEnd"/>
      <w:r>
        <w:rPr>
          <w:rFonts w:cs="Times New Roman"/>
          <w:sz w:val="24"/>
          <w:szCs w:val="24"/>
        </w:rPr>
        <w:t xml:space="preserve"> sie gestaltet werden. </w:t>
      </w:r>
      <w:r w:rsidRPr="0041527D">
        <w:rPr>
          <w:rFonts w:cs="Times New Roman"/>
          <w:i/>
          <w:sz w:val="24"/>
          <w:szCs w:val="24"/>
        </w:rPr>
        <w:t>Unzählige sogenannte Künstler sehen ihr überhaupt nicht oder nur scheinbar ins Auge</w:t>
      </w:r>
      <w:r>
        <w:rPr>
          <w:rFonts w:cs="Times New Roman"/>
          <w:sz w:val="24"/>
          <w:szCs w:val="24"/>
        </w:rPr>
        <w:t xml:space="preserve">. Solche Krisenzeiten sind in der Kunstgeschichte von jeher gekennzeichnet durch jähe Stilbrüche, durch Experimente, durch sonderbare Mischformen, nachher kann dann der Historiker sehen, welcher Weg der gangbare geworden ist. Damit meine ich nicht, </w:t>
      </w:r>
      <w:proofErr w:type="spellStart"/>
      <w:r>
        <w:rPr>
          <w:rFonts w:cs="Times New Roman"/>
          <w:sz w:val="24"/>
          <w:szCs w:val="24"/>
        </w:rPr>
        <w:t>daß</w:t>
      </w:r>
      <w:proofErr w:type="spellEnd"/>
      <w:r>
        <w:rPr>
          <w:rFonts w:cs="Times New Roman"/>
          <w:sz w:val="24"/>
          <w:szCs w:val="24"/>
        </w:rPr>
        <w:t xml:space="preserve"> Fehlschläge und Leerläufe unbedingt sein müssen. </w:t>
      </w:r>
      <w:r w:rsidRPr="000B5F5E">
        <w:rPr>
          <w:rFonts w:cs="Times New Roman"/>
          <w:i/>
          <w:sz w:val="24"/>
          <w:szCs w:val="24"/>
        </w:rPr>
        <w:t>Ich zweifle nur, ob manche Versuche überhaupt Leerläufe waren</w:t>
      </w:r>
      <w:r>
        <w:rPr>
          <w:rFonts w:cs="Times New Roman"/>
          <w:sz w:val="24"/>
          <w:szCs w:val="24"/>
        </w:rPr>
        <w:t>.“</w:t>
      </w:r>
      <w:r>
        <w:rPr>
          <w:rStyle w:val="Funotenzeichen"/>
          <w:rFonts w:cs="Times New Roman"/>
          <w:sz w:val="24"/>
          <w:szCs w:val="24"/>
        </w:rPr>
        <w:footnoteReference w:id="35"/>
      </w:r>
    </w:p>
    <w:p w:rsidR="00D14457" w:rsidRDefault="000B5F5E" w:rsidP="00CA0424">
      <w:pPr>
        <w:spacing w:after="0"/>
        <w:rPr>
          <w:rFonts w:cs="Times New Roman"/>
          <w:sz w:val="24"/>
          <w:szCs w:val="24"/>
        </w:rPr>
      </w:pPr>
      <w:r>
        <w:rPr>
          <w:rFonts w:cs="Times New Roman"/>
          <w:sz w:val="24"/>
          <w:szCs w:val="24"/>
        </w:rPr>
        <w:t xml:space="preserve">Der letzte Satz ist nichts anderes als ein Frontalangriff gegen Lukács. Anna Seghers schreibt dem </w:t>
      </w:r>
      <w:r w:rsidRPr="00227E47">
        <w:rPr>
          <w:rFonts w:cs="Times New Roman"/>
          <w:i/>
          <w:sz w:val="24"/>
          <w:szCs w:val="24"/>
        </w:rPr>
        <w:t>bedeutenden</w:t>
      </w:r>
      <w:r>
        <w:rPr>
          <w:rFonts w:cs="Times New Roman"/>
          <w:sz w:val="24"/>
          <w:szCs w:val="24"/>
        </w:rPr>
        <w:t xml:space="preserve">, verantwortungsvollen Künstler </w:t>
      </w:r>
      <w:r w:rsidR="00227E47">
        <w:rPr>
          <w:rFonts w:cs="Times New Roman"/>
          <w:sz w:val="24"/>
          <w:szCs w:val="24"/>
        </w:rPr>
        <w:t xml:space="preserve">ein prinzipielles </w:t>
      </w:r>
      <w:r w:rsidR="00227E47">
        <w:rPr>
          <w:rFonts w:cs="Times New Roman"/>
          <w:i/>
          <w:sz w:val="24"/>
          <w:szCs w:val="24"/>
        </w:rPr>
        <w:t>Recht</w:t>
      </w:r>
      <w:r w:rsidR="00227E47">
        <w:rPr>
          <w:rFonts w:cs="Times New Roman"/>
          <w:sz w:val="24"/>
          <w:szCs w:val="24"/>
        </w:rPr>
        <w:t xml:space="preserve"> </w:t>
      </w:r>
      <w:r w:rsidR="00227E47" w:rsidRPr="0041527D">
        <w:rPr>
          <w:rFonts w:cs="Times New Roman"/>
          <w:i/>
          <w:sz w:val="24"/>
          <w:szCs w:val="24"/>
        </w:rPr>
        <w:t>auf das</w:t>
      </w:r>
      <w:r w:rsidR="00227E47">
        <w:rPr>
          <w:rFonts w:cs="Times New Roman"/>
          <w:sz w:val="24"/>
          <w:szCs w:val="24"/>
        </w:rPr>
        <w:t xml:space="preserve"> </w:t>
      </w:r>
      <w:r w:rsidR="00227E47" w:rsidRPr="0041527D">
        <w:rPr>
          <w:rFonts w:cs="Times New Roman"/>
          <w:i/>
          <w:sz w:val="24"/>
          <w:szCs w:val="24"/>
        </w:rPr>
        <w:t xml:space="preserve">Experiment </w:t>
      </w:r>
      <w:r w:rsidR="00227E47">
        <w:rPr>
          <w:rFonts w:cs="Times New Roman"/>
          <w:sz w:val="24"/>
          <w:szCs w:val="24"/>
        </w:rPr>
        <w:lastRenderedPageBreak/>
        <w:t xml:space="preserve">zu, an dem </w:t>
      </w:r>
      <w:r w:rsidR="0041527D">
        <w:rPr>
          <w:rFonts w:cs="Times New Roman"/>
          <w:sz w:val="24"/>
          <w:szCs w:val="24"/>
        </w:rPr>
        <w:t xml:space="preserve">auch </w:t>
      </w:r>
      <w:r w:rsidR="00227E47">
        <w:rPr>
          <w:rFonts w:cs="Times New Roman"/>
          <w:sz w:val="24"/>
          <w:szCs w:val="24"/>
        </w:rPr>
        <w:t xml:space="preserve">durch Belehrungen und abwertende Urteile </w:t>
      </w:r>
      <w:r w:rsidR="00227E47" w:rsidRPr="0041527D">
        <w:rPr>
          <w:rFonts w:cs="Times New Roman"/>
          <w:sz w:val="24"/>
          <w:szCs w:val="24"/>
        </w:rPr>
        <w:t>nicht zu rütteln</w:t>
      </w:r>
      <w:r w:rsidR="00227E47">
        <w:rPr>
          <w:rFonts w:cs="Times New Roman"/>
          <w:sz w:val="24"/>
          <w:szCs w:val="24"/>
        </w:rPr>
        <w:t xml:space="preserve"> ist.</w:t>
      </w:r>
      <w:r w:rsidR="00227E47">
        <w:rPr>
          <w:rStyle w:val="Funotenzeichen"/>
          <w:rFonts w:cs="Times New Roman"/>
          <w:sz w:val="24"/>
          <w:szCs w:val="24"/>
        </w:rPr>
        <w:footnoteReference w:id="36"/>
      </w:r>
      <w:r w:rsidR="00227E47">
        <w:rPr>
          <w:rFonts w:cs="Times New Roman"/>
          <w:sz w:val="24"/>
          <w:szCs w:val="24"/>
        </w:rPr>
        <w:t xml:space="preserve"> Dieses Argument wird anschließend durch den Hinweis auf die Brüche, die bei der Ablösung der Antike durch die christliche Kunst erkennbar werden, untermauert</w:t>
      </w:r>
      <w:r w:rsidR="0041527D">
        <w:rPr>
          <w:rFonts w:cs="Times New Roman"/>
          <w:sz w:val="24"/>
          <w:szCs w:val="24"/>
        </w:rPr>
        <w:t>. Einen „Bruch“ stellt die Abbildung des Stifters, einer Gestalt der irdischen Welt, innerhalb des Altarbildes, der „spirituellen Welt“, dar</w:t>
      </w:r>
      <w:r w:rsidR="00D14457">
        <w:rPr>
          <w:rFonts w:cs="Times New Roman"/>
          <w:sz w:val="24"/>
          <w:szCs w:val="24"/>
        </w:rPr>
        <w:t>:</w:t>
      </w:r>
    </w:p>
    <w:p w:rsidR="00D14457" w:rsidRDefault="00D14457" w:rsidP="00D14457">
      <w:pPr>
        <w:spacing w:after="0"/>
        <w:ind w:firstLine="1134"/>
        <w:rPr>
          <w:rFonts w:cs="Times New Roman"/>
          <w:sz w:val="24"/>
          <w:szCs w:val="24"/>
        </w:rPr>
      </w:pPr>
      <w:r>
        <w:rPr>
          <w:rFonts w:cs="Times New Roman"/>
          <w:sz w:val="24"/>
          <w:szCs w:val="24"/>
        </w:rPr>
        <w:t xml:space="preserve">„Der Bürger stellte sich auf dem Altarbild dar als Stifter, auf </w:t>
      </w:r>
      <w:proofErr w:type="spellStart"/>
      <w:r>
        <w:rPr>
          <w:rFonts w:cs="Times New Roman"/>
          <w:sz w:val="24"/>
          <w:szCs w:val="24"/>
        </w:rPr>
        <w:t>Gab</w:t>
      </w:r>
      <w:r w:rsidR="008623B8">
        <w:rPr>
          <w:rFonts w:cs="Times New Roman"/>
          <w:sz w:val="24"/>
          <w:szCs w:val="24"/>
        </w:rPr>
        <w:t>m</w:t>
      </w:r>
      <w:r>
        <w:rPr>
          <w:rFonts w:cs="Times New Roman"/>
          <w:sz w:val="24"/>
          <w:szCs w:val="24"/>
        </w:rPr>
        <w:t>älern</w:t>
      </w:r>
      <w:proofErr w:type="spellEnd"/>
      <w:r>
        <w:rPr>
          <w:rFonts w:cs="Times New Roman"/>
          <w:sz w:val="24"/>
          <w:szCs w:val="24"/>
        </w:rPr>
        <w:t xml:space="preserve"> usw.“</w:t>
      </w:r>
      <w:r>
        <w:rPr>
          <w:rStyle w:val="Funotenzeichen"/>
          <w:rFonts w:cs="Times New Roman"/>
          <w:sz w:val="24"/>
          <w:szCs w:val="24"/>
        </w:rPr>
        <w:footnoteReference w:id="37"/>
      </w:r>
    </w:p>
    <w:p w:rsidR="008130B3" w:rsidRDefault="00227E47" w:rsidP="00CA0424">
      <w:pPr>
        <w:spacing w:after="0"/>
        <w:rPr>
          <w:rFonts w:cs="Times New Roman"/>
          <w:sz w:val="24"/>
          <w:szCs w:val="24"/>
        </w:rPr>
      </w:pPr>
      <w:r>
        <w:rPr>
          <w:rFonts w:cs="Times New Roman"/>
          <w:sz w:val="24"/>
          <w:szCs w:val="24"/>
        </w:rPr>
        <w:t>Dieser Hinweis wird im Brief vom Februar 1939</w:t>
      </w:r>
      <w:r w:rsidR="00D14457">
        <w:rPr>
          <w:rStyle w:val="Funotenzeichen"/>
          <w:rFonts w:cs="Times New Roman"/>
          <w:sz w:val="24"/>
          <w:szCs w:val="24"/>
        </w:rPr>
        <w:footnoteReference w:id="38"/>
      </w:r>
      <w:r w:rsidR="00D14457">
        <w:rPr>
          <w:rFonts w:cs="Times New Roman"/>
          <w:sz w:val="24"/>
          <w:szCs w:val="24"/>
        </w:rPr>
        <w:t xml:space="preserve"> noch einmal aufgegriffen:</w:t>
      </w:r>
    </w:p>
    <w:p w:rsidR="00D14457" w:rsidRPr="00D14457" w:rsidRDefault="00D14457" w:rsidP="00D14457">
      <w:pPr>
        <w:spacing w:after="0"/>
        <w:ind w:left="1134"/>
        <w:rPr>
          <w:rFonts w:cs="Times New Roman"/>
          <w:sz w:val="24"/>
          <w:szCs w:val="24"/>
        </w:rPr>
      </w:pPr>
      <w:r>
        <w:rPr>
          <w:rFonts w:cs="Times New Roman"/>
          <w:sz w:val="24"/>
          <w:szCs w:val="24"/>
        </w:rPr>
        <w:t xml:space="preserve">„Vom Standpunkt der antiken Kunst aus, von der Blüte der mittelalterlichen Kunst aus war das, was nachkam, der reinste Zerfall. Im besten Fall absurd, experimentell. </w:t>
      </w:r>
      <w:r>
        <w:rPr>
          <w:rFonts w:cs="Times New Roman"/>
          <w:i/>
          <w:sz w:val="24"/>
          <w:szCs w:val="24"/>
        </w:rPr>
        <w:t>Es war aber doch der Anfang zu etwas Neuem.“</w:t>
      </w:r>
      <w:r>
        <w:rPr>
          <w:rStyle w:val="Funotenzeichen"/>
          <w:rFonts w:cs="Times New Roman"/>
          <w:i/>
          <w:sz w:val="24"/>
          <w:szCs w:val="24"/>
        </w:rPr>
        <w:footnoteReference w:id="39"/>
      </w:r>
    </w:p>
    <w:p w:rsidR="008130B3" w:rsidRPr="003B2080" w:rsidRDefault="00D14457" w:rsidP="00CA0424">
      <w:pPr>
        <w:spacing w:after="0"/>
        <w:rPr>
          <w:rFonts w:cs="Times New Roman"/>
          <w:sz w:val="24"/>
          <w:szCs w:val="24"/>
        </w:rPr>
      </w:pPr>
      <w:r>
        <w:rPr>
          <w:rFonts w:cs="Times New Roman"/>
          <w:sz w:val="24"/>
          <w:szCs w:val="24"/>
        </w:rPr>
        <w:t xml:space="preserve">Überaus subtil wird </w:t>
      </w:r>
      <w:r w:rsidR="00BA3D7E">
        <w:rPr>
          <w:rFonts w:cs="Times New Roman"/>
          <w:sz w:val="24"/>
          <w:szCs w:val="24"/>
        </w:rPr>
        <w:t>damit</w:t>
      </w:r>
      <w:r>
        <w:rPr>
          <w:rFonts w:cs="Times New Roman"/>
          <w:sz w:val="24"/>
          <w:szCs w:val="24"/>
        </w:rPr>
        <w:t xml:space="preserve"> – </w:t>
      </w:r>
      <w:r w:rsidR="003B2080">
        <w:rPr>
          <w:rFonts w:cs="Times New Roman"/>
          <w:sz w:val="24"/>
          <w:szCs w:val="24"/>
        </w:rPr>
        <w:t xml:space="preserve">ebenso wie auch </w:t>
      </w:r>
      <w:r>
        <w:rPr>
          <w:rFonts w:cs="Times New Roman"/>
          <w:sz w:val="24"/>
          <w:szCs w:val="24"/>
        </w:rPr>
        <w:t xml:space="preserve">Bloch in </w:t>
      </w:r>
      <w:r>
        <w:rPr>
          <w:rFonts w:cs="Times New Roman"/>
          <w:i/>
          <w:sz w:val="24"/>
          <w:szCs w:val="24"/>
        </w:rPr>
        <w:t>Erbschaft dieser Zeit</w:t>
      </w:r>
      <w:r>
        <w:rPr>
          <w:rFonts w:cs="Times New Roman"/>
          <w:sz w:val="24"/>
          <w:szCs w:val="24"/>
        </w:rPr>
        <w:t xml:space="preserve"> </w:t>
      </w:r>
      <w:r w:rsidR="003B2080">
        <w:rPr>
          <w:rFonts w:cs="Times New Roman"/>
          <w:sz w:val="24"/>
          <w:szCs w:val="24"/>
        </w:rPr>
        <w:t>vorgeht</w:t>
      </w:r>
      <w:r>
        <w:rPr>
          <w:rFonts w:cs="Times New Roman"/>
          <w:sz w:val="24"/>
          <w:szCs w:val="24"/>
        </w:rPr>
        <w:t xml:space="preserve"> </w:t>
      </w:r>
      <w:r w:rsidR="003B2080">
        <w:rPr>
          <w:rFonts w:cs="Times New Roman"/>
          <w:sz w:val="24"/>
          <w:szCs w:val="24"/>
        </w:rPr>
        <w:t>–</w:t>
      </w:r>
      <w:r>
        <w:rPr>
          <w:rFonts w:cs="Times New Roman"/>
          <w:sz w:val="24"/>
          <w:szCs w:val="24"/>
        </w:rPr>
        <w:t xml:space="preserve"> </w:t>
      </w:r>
      <w:r w:rsidR="003B2080">
        <w:rPr>
          <w:rFonts w:cs="Times New Roman"/>
          <w:sz w:val="24"/>
          <w:szCs w:val="24"/>
        </w:rPr>
        <w:t xml:space="preserve">auf den </w:t>
      </w:r>
      <w:r w:rsidR="003B2080" w:rsidRPr="003B2080">
        <w:rPr>
          <w:rFonts w:cs="Times New Roman"/>
          <w:i/>
          <w:sz w:val="24"/>
          <w:szCs w:val="24"/>
        </w:rPr>
        <w:t>gesellschaftlichen Wandel</w:t>
      </w:r>
      <w:r w:rsidR="003B2080">
        <w:rPr>
          <w:rFonts w:cs="Times New Roman"/>
          <w:sz w:val="24"/>
          <w:szCs w:val="24"/>
        </w:rPr>
        <w:t xml:space="preserve"> verwiesen, der sich in der Komposition niederschlägt und der daran erkennbar ist, dass der </w:t>
      </w:r>
      <w:r w:rsidR="003B2080" w:rsidRPr="00643CC3">
        <w:rPr>
          <w:rFonts w:cs="Times New Roman"/>
          <w:sz w:val="24"/>
          <w:szCs w:val="24"/>
        </w:rPr>
        <w:t>Auftraggeber</w:t>
      </w:r>
      <w:r w:rsidR="003B2080">
        <w:rPr>
          <w:rFonts w:cs="Times New Roman"/>
          <w:sz w:val="24"/>
          <w:szCs w:val="24"/>
        </w:rPr>
        <w:t xml:space="preserve">, den Anna Seghers mit Absicht den „Bürger“ nennt, </w:t>
      </w:r>
      <w:r w:rsidR="00AB22CA">
        <w:rPr>
          <w:rFonts w:cs="Times New Roman"/>
          <w:sz w:val="24"/>
          <w:szCs w:val="24"/>
        </w:rPr>
        <w:t>i</w:t>
      </w:r>
      <w:r w:rsidR="003B2080">
        <w:rPr>
          <w:rFonts w:cs="Times New Roman"/>
          <w:sz w:val="24"/>
          <w:szCs w:val="24"/>
        </w:rPr>
        <w:t xml:space="preserve">m Bild erscheint. Aus der Perspektive der vorangegangenen Epoche </w:t>
      </w:r>
      <w:r w:rsidR="00BA3D7E">
        <w:rPr>
          <w:rFonts w:cs="Times New Roman"/>
          <w:sz w:val="24"/>
          <w:szCs w:val="24"/>
        </w:rPr>
        <w:t>ist</w:t>
      </w:r>
      <w:r w:rsidR="003B2080">
        <w:rPr>
          <w:rFonts w:cs="Times New Roman"/>
          <w:sz w:val="24"/>
          <w:szCs w:val="24"/>
        </w:rPr>
        <w:t xml:space="preserve"> diese Kunst „Zerfall“. Aus der Sicht der Kunstgeschichte </w:t>
      </w:r>
      <w:r w:rsidR="00BA3D7E">
        <w:rPr>
          <w:rFonts w:cs="Times New Roman"/>
          <w:sz w:val="24"/>
          <w:szCs w:val="24"/>
        </w:rPr>
        <w:t>ist</w:t>
      </w:r>
      <w:r w:rsidR="003B2080">
        <w:rPr>
          <w:rFonts w:cs="Times New Roman"/>
          <w:sz w:val="24"/>
          <w:szCs w:val="24"/>
        </w:rPr>
        <w:t xml:space="preserve"> es jedoch der Weg zu den „ersten einzelnen abgeschlossenen Porträts“, </w:t>
      </w:r>
      <w:r w:rsidR="00BA3D7E">
        <w:rPr>
          <w:rFonts w:cs="Times New Roman"/>
          <w:sz w:val="24"/>
          <w:szCs w:val="24"/>
        </w:rPr>
        <w:t xml:space="preserve">einstweilen noch </w:t>
      </w:r>
      <w:r w:rsidR="003B2080">
        <w:rPr>
          <w:rFonts w:cs="Times New Roman"/>
          <w:sz w:val="24"/>
          <w:szCs w:val="24"/>
        </w:rPr>
        <w:t>„recht fragwürdige Versuch</w:t>
      </w:r>
      <w:r w:rsidR="008623B8">
        <w:rPr>
          <w:rFonts w:cs="Times New Roman"/>
          <w:sz w:val="24"/>
          <w:szCs w:val="24"/>
        </w:rPr>
        <w:t>e</w:t>
      </w:r>
      <w:r w:rsidR="003B2080">
        <w:rPr>
          <w:rFonts w:cs="Times New Roman"/>
          <w:sz w:val="24"/>
          <w:szCs w:val="24"/>
        </w:rPr>
        <w:t xml:space="preserve"> </w:t>
      </w:r>
      <w:r w:rsidR="003B2080" w:rsidRPr="008623B8">
        <w:rPr>
          <w:rFonts w:cs="Times New Roman"/>
          <w:i/>
          <w:sz w:val="24"/>
          <w:szCs w:val="24"/>
        </w:rPr>
        <w:t>und doch Rembrandts Vorläufer</w:t>
      </w:r>
      <w:r w:rsidR="003B2080">
        <w:rPr>
          <w:rFonts w:cs="Times New Roman"/>
          <w:sz w:val="24"/>
          <w:szCs w:val="24"/>
        </w:rPr>
        <w:t>“.</w:t>
      </w:r>
      <w:r w:rsidR="003B2080">
        <w:rPr>
          <w:rStyle w:val="Funotenzeichen"/>
          <w:rFonts w:cs="Times New Roman"/>
          <w:sz w:val="24"/>
          <w:szCs w:val="24"/>
        </w:rPr>
        <w:footnoteReference w:id="40"/>
      </w:r>
      <w:r w:rsidR="00BA3D7E">
        <w:rPr>
          <w:rFonts w:cs="Times New Roman"/>
          <w:sz w:val="24"/>
          <w:szCs w:val="24"/>
        </w:rPr>
        <w:t xml:space="preserve"> – An dieser Stelle ist damit die Verbindung zwischen dem „Experiment“ und dem Ideal „realistischer Abbildung“, in diesem Fall zu Rembrandt, hergestellt. Lukács‘ Behauptung einer überzeitlichen Entwicklungslinie „realistischer Kunst“ erweist sich als bloß theoretisches, die tatsächliche geschichtliche Entwicklung negierendes Konstrukt.</w:t>
      </w:r>
    </w:p>
    <w:p w:rsidR="003B2080" w:rsidRPr="00D14457" w:rsidRDefault="008623B8" w:rsidP="00CA0424">
      <w:pPr>
        <w:spacing w:after="0"/>
        <w:rPr>
          <w:rFonts w:cs="Times New Roman"/>
          <w:sz w:val="24"/>
          <w:szCs w:val="24"/>
        </w:rPr>
      </w:pPr>
      <w:r>
        <w:rPr>
          <w:rFonts w:cs="Times New Roman"/>
          <w:sz w:val="24"/>
          <w:szCs w:val="24"/>
        </w:rPr>
        <w:tab/>
        <w:t xml:space="preserve">Nicht immer ist Anna Seghers‘ Argumentation in ihrer Zielrichtung so klar und unmissverständlich wie an dieser Stelle. </w:t>
      </w:r>
      <w:r w:rsidR="00700E45">
        <w:rPr>
          <w:rFonts w:cs="Times New Roman"/>
          <w:sz w:val="24"/>
          <w:szCs w:val="24"/>
        </w:rPr>
        <w:t>Manchmal</w:t>
      </w:r>
      <w:r>
        <w:rPr>
          <w:rFonts w:cs="Times New Roman"/>
          <w:sz w:val="24"/>
          <w:szCs w:val="24"/>
        </w:rPr>
        <w:t xml:space="preserve"> scheint sie vom Thema abzuschweifen, </w:t>
      </w:r>
      <w:r w:rsidR="00643CC3">
        <w:rPr>
          <w:rFonts w:cs="Times New Roman"/>
          <w:sz w:val="24"/>
          <w:szCs w:val="24"/>
        </w:rPr>
        <w:t xml:space="preserve">der </w:t>
      </w:r>
      <w:r w:rsidR="00700E45">
        <w:rPr>
          <w:rFonts w:cs="Times New Roman"/>
          <w:sz w:val="24"/>
          <w:szCs w:val="24"/>
        </w:rPr>
        <w:t>bisweilen kritische Tenor</w:t>
      </w:r>
      <w:r>
        <w:rPr>
          <w:rFonts w:cs="Times New Roman"/>
          <w:sz w:val="24"/>
          <w:szCs w:val="24"/>
        </w:rPr>
        <w:t xml:space="preserve"> wird gemildert</w:t>
      </w:r>
      <w:r w:rsidR="00700E45">
        <w:rPr>
          <w:rFonts w:cs="Times New Roman"/>
          <w:sz w:val="24"/>
          <w:szCs w:val="24"/>
        </w:rPr>
        <w:t>. In die Kritik</w:t>
      </w:r>
      <w:r>
        <w:rPr>
          <w:rFonts w:cs="Times New Roman"/>
          <w:sz w:val="24"/>
          <w:szCs w:val="24"/>
        </w:rPr>
        <w:t xml:space="preserve"> fließen </w:t>
      </w:r>
      <w:r w:rsidR="00700E45">
        <w:rPr>
          <w:rFonts w:cs="Times New Roman"/>
          <w:sz w:val="24"/>
          <w:szCs w:val="24"/>
        </w:rPr>
        <w:t xml:space="preserve">immer wieder </w:t>
      </w:r>
      <w:r>
        <w:rPr>
          <w:rFonts w:cs="Times New Roman"/>
          <w:sz w:val="24"/>
          <w:szCs w:val="24"/>
        </w:rPr>
        <w:t>verbindliche Formulierungen ein</w:t>
      </w:r>
      <w:r w:rsidR="00700E45">
        <w:rPr>
          <w:rFonts w:cs="Times New Roman"/>
          <w:sz w:val="24"/>
          <w:szCs w:val="24"/>
        </w:rPr>
        <w:t>;</w:t>
      </w:r>
      <w:r>
        <w:rPr>
          <w:rFonts w:cs="Times New Roman"/>
          <w:sz w:val="24"/>
          <w:szCs w:val="24"/>
        </w:rPr>
        <w:t xml:space="preserve"> </w:t>
      </w:r>
      <w:r w:rsidR="00700E45">
        <w:rPr>
          <w:rFonts w:cs="Times New Roman"/>
          <w:sz w:val="24"/>
          <w:szCs w:val="24"/>
        </w:rPr>
        <w:t xml:space="preserve">manchmal wird, wie es scheint, der Hauptstrang der Argumentation mit Absicht verlassen, so dass </w:t>
      </w:r>
      <w:r>
        <w:rPr>
          <w:rFonts w:cs="Times New Roman"/>
          <w:sz w:val="24"/>
          <w:szCs w:val="24"/>
        </w:rPr>
        <w:t xml:space="preserve">Nebenaspekte </w:t>
      </w:r>
      <w:r w:rsidR="00700E45">
        <w:rPr>
          <w:rFonts w:cs="Times New Roman"/>
          <w:sz w:val="24"/>
          <w:szCs w:val="24"/>
        </w:rPr>
        <w:t>in den Vordergrund rücken, die dann leicht zu widerlegen sind</w:t>
      </w:r>
      <w:r>
        <w:rPr>
          <w:rFonts w:cs="Times New Roman"/>
          <w:sz w:val="24"/>
          <w:szCs w:val="24"/>
        </w:rPr>
        <w:t xml:space="preserve">. </w:t>
      </w:r>
      <w:r w:rsidR="00E80CC4">
        <w:rPr>
          <w:rFonts w:cs="Times New Roman"/>
          <w:sz w:val="24"/>
          <w:szCs w:val="24"/>
        </w:rPr>
        <w:t>Anna Seghers nimmt damit in Kauf, dass Lukács sie in seinen Antworten wie eine Schülerin mit Belehrungen abfertigt.</w:t>
      </w:r>
      <w:r w:rsidR="00E80CC4">
        <w:rPr>
          <w:rStyle w:val="Funotenzeichen"/>
          <w:rFonts w:cs="Times New Roman"/>
          <w:sz w:val="24"/>
          <w:szCs w:val="24"/>
        </w:rPr>
        <w:footnoteReference w:id="41"/>
      </w:r>
      <w:r w:rsidR="00E80CC4">
        <w:rPr>
          <w:rFonts w:cs="Times New Roman"/>
          <w:sz w:val="24"/>
          <w:szCs w:val="24"/>
        </w:rPr>
        <w:t xml:space="preserve"> </w:t>
      </w:r>
      <w:r>
        <w:rPr>
          <w:rFonts w:cs="Times New Roman"/>
          <w:sz w:val="24"/>
          <w:szCs w:val="24"/>
        </w:rPr>
        <w:t xml:space="preserve">Vermutlich sind das </w:t>
      </w:r>
      <w:r w:rsidR="00E80CC4">
        <w:rPr>
          <w:rFonts w:cs="Times New Roman"/>
          <w:sz w:val="24"/>
          <w:szCs w:val="24"/>
        </w:rPr>
        <w:t xml:space="preserve">für Anna Seghers </w:t>
      </w:r>
      <w:r>
        <w:rPr>
          <w:rFonts w:cs="Times New Roman"/>
          <w:sz w:val="24"/>
          <w:szCs w:val="24"/>
        </w:rPr>
        <w:t>jedoch nur Konzessionen, um die Kritik in den Augen der Orthodoxie überhaupt akzeptabel zu machen.</w:t>
      </w:r>
      <w:r w:rsidR="00D57F72">
        <w:rPr>
          <w:rFonts w:cs="Times New Roman"/>
          <w:sz w:val="24"/>
          <w:szCs w:val="24"/>
        </w:rPr>
        <w:t xml:space="preserve"> Als Schriftstellerin z</w:t>
      </w:r>
      <w:r w:rsidR="00700E45">
        <w:rPr>
          <w:rFonts w:cs="Times New Roman"/>
          <w:sz w:val="24"/>
          <w:szCs w:val="24"/>
        </w:rPr>
        <w:t xml:space="preserve">ieht </w:t>
      </w:r>
      <w:r w:rsidR="00D57F72">
        <w:rPr>
          <w:rFonts w:cs="Times New Roman"/>
          <w:sz w:val="24"/>
          <w:szCs w:val="24"/>
        </w:rPr>
        <w:t>sie</w:t>
      </w:r>
      <w:r>
        <w:rPr>
          <w:rFonts w:cs="Times New Roman"/>
          <w:sz w:val="24"/>
          <w:szCs w:val="24"/>
        </w:rPr>
        <w:t xml:space="preserve"> </w:t>
      </w:r>
      <w:r w:rsidR="00D57F72">
        <w:rPr>
          <w:rFonts w:cs="Times New Roman"/>
          <w:sz w:val="24"/>
          <w:szCs w:val="24"/>
        </w:rPr>
        <w:t xml:space="preserve">aus der Diskussion </w:t>
      </w:r>
      <w:r w:rsidR="00700E45">
        <w:rPr>
          <w:rFonts w:cs="Times New Roman"/>
          <w:sz w:val="24"/>
          <w:szCs w:val="24"/>
        </w:rPr>
        <w:t xml:space="preserve">jedoch </w:t>
      </w:r>
      <w:r w:rsidR="00D57F72">
        <w:rPr>
          <w:rFonts w:cs="Times New Roman"/>
          <w:sz w:val="24"/>
          <w:szCs w:val="24"/>
        </w:rPr>
        <w:t>klare Konsequenzen: I</w:t>
      </w:r>
      <w:r w:rsidR="00643CC3">
        <w:rPr>
          <w:rFonts w:cs="Times New Roman"/>
          <w:sz w:val="24"/>
          <w:szCs w:val="24"/>
        </w:rPr>
        <w:t>m</w:t>
      </w:r>
      <w:r w:rsidR="00D57F72">
        <w:rPr>
          <w:rFonts w:cs="Times New Roman"/>
          <w:sz w:val="24"/>
          <w:szCs w:val="24"/>
        </w:rPr>
        <w:t xml:space="preserve"> Hinblick auf die Bereiche ihres intellektuellen Kosmos, die – nach Lukács bzw. </w:t>
      </w:r>
      <w:proofErr w:type="spellStart"/>
      <w:r w:rsidR="00D57F72">
        <w:rPr>
          <w:rFonts w:cs="Times New Roman"/>
          <w:sz w:val="24"/>
          <w:szCs w:val="24"/>
        </w:rPr>
        <w:t>Kurella</w:t>
      </w:r>
      <w:proofErr w:type="spellEnd"/>
      <w:r w:rsidR="00D57F72">
        <w:rPr>
          <w:rFonts w:cs="Times New Roman"/>
          <w:sz w:val="24"/>
          <w:szCs w:val="24"/>
        </w:rPr>
        <w:t xml:space="preserve"> – vom „Erbe“ ausgeschlossen </w:t>
      </w:r>
      <w:r w:rsidR="00700E45">
        <w:rPr>
          <w:rFonts w:cs="Times New Roman"/>
          <w:sz w:val="24"/>
          <w:szCs w:val="24"/>
        </w:rPr>
        <w:t>sind</w:t>
      </w:r>
      <w:r w:rsidR="00D57F72">
        <w:rPr>
          <w:rFonts w:cs="Times New Roman"/>
          <w:sz w:val="24"/>
          <w:szCs w:val="24"/>
        </w:rPr>
        <w:t xml:space="preserve">, die sie jedoch intensiv rezipiert hat und die </w:t>
      </w:r>
      <w:r w:rsidR="00700E45">
        <w:rPr>
          <w:rFonts w:cs="Times New Roman"/>
          <w:sz w:val="24"/>
          <w:szCs w:val="24"/>
        </w:rPr>
        <w:t xml:space="preserve">in ihrem Werk </w:t>
      </w:r>
      <w:r w:rsidR="00D57F72">
        <w:rPr>
          <w:rFonts w:cs="Times New Roman"/>
          <w:sz w:val="24"/>
          <w:szCs w:val="24"/>
        </w:rPr>
        <w:lastRenderedPageBreak/>
        <w:t>deutliche Spuren hinterlassen haben, reagiert sie mit absolutem Verschweigen. Das betr</w:t>
      </w:r>
      <w:r w:rsidR="00700E45">
        <w:rPr>
          <w:rFonts w:cs="Times New Roman"/>
          <w:sz w:val="24"/>
          <w:szCs w:val="24"/>
        </w:rPr>
        <w:t>if</w:t>
      </w:r>
      <w:r w:rsidR="00D57F72">
        <w:rPr>
          <w:rFonts w:cs="Times New Roman"/>
          <w:sz w:val="24"/>
          <w:szCs w:val="24"/>
        </w:rPr>
        <w:t>f</w:t>
      </w:r>
      <w:r w:rsidR="00700E45">
        <w:rPr>
          <w:rFonts w:cs="Times New Roman"/>
          <w:sz w:val="24"/>
          <w:szCs w:val="24"/>
        </w:rPr>
        <w:t>t</w:t>
      </w:r>
      <w:r w:rsidR="00D57F72">
        <w:rPr>
          <w:rFonts w:cs="Times New Roman"/>
          <w:sz w:val="24"/>
          <w:szCs w:val="24"/>
        </w:rPr>
        <w:t xml:space="preserve"> vor allem Kafka, von dem sich frühe Texte in ihrer Bibliothek befinden, Kierkegaard, dessen Werk sie in immer neuen Ausgaben lebenslang begleitet, </w:t>
      </w:r>
      <w:r w:rsidR="00700E45">
        <w:rPr>
          <w:rFonts w:cs="Times New Roman"/>
          <w:sz w:val="24"/>
          <w:szCs w:val="24"/>
        </w:rPr>
        <w:t xml:space="preserve">sowie </w:t>
      </w:r>
      <w:r w:rsidR="00D57F72">
        <w:rPr>
          <w:rFonts w:cs="Times New Roman"/>
          <w:sz w:val="24"/>
          <w:szCs w:val="24"/>
        </w:rPr>
        <w:t>Nietzsche</w:t>
      </w:r>
      <w:r w:rsidR="00700E45">
        <w:rPr>
          <w:rFonts w:cs="Times New Roman"/>
          <w:sz w:val="24"/>
          <w:szCs w:val="24"/>
        </w:rPr>
        <w:t xml:space="preserve"> und</w:t>
      </w:r>
      <w:r w:rsidR="00D57F72">
        <w:rPr>
          <w:rFonts w:cs="Times New Roman"/>
          <w:sz w:val="24"/>
          <w:szCs w:val="24"/>
        </w:rPr>
        <w:t xml:space="preserve"> Husserl, den sie in ihrer Studienzeit rezipiert hat</w:t>
      </w:r>
      <w:r w:rsidR="00700E45">
        <w:rPr>
          <w:rFonts w:cs="Times New Roman"/>
          <w:sz w:val="24"/>
          <w:szCs w:val="24"/>
        </w:rPr>
        <w:t xml:space="preserve">. </w:t>
      </w:r>
    </w:p>
    <w:p w:rsidR="008130B3" w:rsidRDefault="008130B3" w:rsidP="00CA0424">
      <w:pPr>
        <w:spacing w:after="0"/>
        <w:rPr>
          <w:rFonts w:cs="Times New Roman"/>
          <w:sz w:val="24"/>
          <w:szCs w:val="24"/>
        </w:rPr>
      </w:pPr>
    </w:p>
    <w:sectPr w:rsidR="008130B3" w:rsidSect="00731034">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1C" w:rsidRDefault="00C47E1C" w:rsidP="009F2CE7">
      <w:pPr>
        <w:spacing w:after="0" w:line="240" w:lineRule="auto"/>
      </w:pPr>
      <w:r>
        <w:separator/>
      </w:r>
    </w:p>
  </w:endnote>
  <w:endnote w:type="continuationSeparator" w:id="0">
    <w:p w:rsidR="00C47E1C" w:rsidRDefault="00C47E1C" w:rsidP="009F2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1C" w:rsidRDefault="00C47E1C" w:rsidP="009F2CE7">
      <w:pPr>
        <w:spacing w:after="0" w:line="240" w:lineRule="auto"/>
      </w:pPr>
      <w:r>
        <w:separator/>
      </w:r>
    </w:p>
  </w:footnote>
  <w:footnote w:type="continuationSeparator" w:id="0">
    <w:p w:rsidR="00C47E1C" w:rsidRDefault="00C47E1C" w:rsidP="009F2CE7">
      <w:pPr>
        <w:spacing w:after="0" w:line="240" w:lineRule="auto"/>
      </w:pPr>
      <w:r>
        <w:continuationSeparator/>
      </w:r>
    </w:p>
  </w:footnote>
  <w:footnote w:id="1">
    <w:p w:rsidR="00E80CC4" w:rsidRPr="009A417A" w:rsidRDefault="00E80CC4">
      <w:pPr>
        <w:pStyle w:val="Funotentext"/>
      </w:pPr>
      <w:r>
        <w:rPr>
          <w:rStyle w:val="Funotenzeichen"/>
        </w:rPr>
        <w:footnoteRef/>
      </w:r>
      <w:r>
        <w:t xml:space="preserve"> Michael </w:t>
      </w:r>
      <w:proofErr w:type="spellStart"/>
      <w:r>
        <w:t>Bulgakow</w:t>
      </w:r>
      <w:proofErr w:type="spellEnd"/>
      <w:r>
        <w:t xml:space="preserve"> stellt in </w:t>
      </w:r>
      <w:r>
        <w:rPr>
          <w:i/>
        </w:rPr>
        <w:t>Der Meister und Margarita</w:t>
      </w:r>
      <w:r>
        <w:t xml:space="preserve"> in skurril-satirischer Form die in den 1930er Jahren bestehenden Verhältnisse dar: das unverhoffte, an Magie und Zauberei gemahnende Verschwinden von Personen aus dem öffentlichen Leben.</w:t>
      </w:r>
    </w:p>
  </w:footnote>
  <w:footnote w:id="2">
    <w:p w:rsidR="00E80CC4" w:rsidRPr="0086588A" w:rsidRDefault="00E80CC4">
      <w:pPr>
        <w:pStyle w:val="Funotentext"/>
      </w:pPr>
      <w:r>
        <w:rPr>
          <w:rStyle w:val="Funotenzeichen"/>
        </w:rPr>
        <w:footnoteRef/>
      </w:r>
      <w:r>
        <w:t xml:space="preserve"> In den Parteilebensläufen der Moskauer Emigranten finden </w:t>
      </w:r>
      <w:r w:rsidR="00C53021">
        <w:t xml:space="preserve">sich </w:t>
      </w:r>
      <w:r>
        <w:t xml:space="preserve">zahllose Hinweise auf „Verräter“ und „Trotzkisten“, z.T. </w:t>
      </w:r>
      <w:r w:rsidR="0086588A">
        <w:t xml:space="preserve">auf </w:t>
      </w:r>
      <w:r w:rsidR="00C53021">
        <w:t xml:space="preserve">Personen </w:t>
      </w:r>
      <w:r>
        <w:t xml:space="preserve">aus dem engsten persönlichen Umfeld, die </w:t>
      </w:r>
      <w:r w:rsidR="0086588A">
        <w:t xml:space="preserve">angeblich </w:t>
      </w:r>
      <w:r>
        <w:t>versucht hätten, die Betreffenden von der „Parteilinie“ abzubringen bzw. zu Aktionen zu veranlassen, die</w:t>
      </w:r>
      <w:r w:rsidR="00C53021">
        <w:t>, wären sie verwirklicht worden,</w:t>
      </w:r>
      <w:r>
        <w:t xml:space="preserve"> in „Verrat“ geendet hätten. Indem man über diese Versuche Bericht erstattet habe, habe man selber in dieser kritischen Zeit „Linientreue“ bewiesen.</w:t>
      </w:r>
      <w:r w:rsidR="00C53021">
        <w:t xml:space="preserve"> </w:t>
      </w:r>
      <w:r w:rsidR="0086588A">
        <w:t>– E</w:t>
      </w:r>
      <w:r w:rsidR="00C53021">
        <w:t xml:space="preserve">in Beispiel ist der Entwurf eines Parteilebenslaufs, den Gustav von Wangenheim vermutlich Anfang der 1950er Jahre verfasste (auszugsweise veröffentlicht in Frithjof Trapp: </w:t>
      </w:r>
      <w:r w:rsidR="0086588A">
        <w:t xml:space="preserve">„Ich empfehle, die ‚Prawda‘ über (die) West-Ukraine nachzulesen“. – In: </w:t>
      </w:r>
      <w:r w:rsidR="0086588A">
        <w:rPr>
          <w:i/>
        </w:rPr>
        <w:t>Exilforschung</w:t>
      </w:r>
      <w:r w:rsidR="0086588A">
        <w:t xml:space="preserve"> 1 (1983), S. 130 – 146, hier S. 137 f.</w:t>
      </w:r>
    </w:p>
  </w:footnote>
  <w:footnote w:id="3">
    <w:p w:rsidR="00E80CC4" w:rsidRPr="00AA187D" w:rsidRDefault="00E80CC4">
      <w:pPr>
        <w:pStyle w:val="Funotentext"/>
      </w:pPr>
      <w:r>
        <w:rPr>
          <w:rStyle w:val="Funotenzeichen"/>
        </w:rPr>
        <w:footnoteRef/>
      </w:r>
      <w:r>
        <w:t xml:space="preserve"> </w:t>
      </w:r>
      <w:r w:rsidR="00594AEF">
        <w:t xml:space="preserve">Die Angaben hinsichtlich Blochs als auch Eislers </w:t>
      </w:r>
      <w:r w:rsidR="007F1226">
        <w:t>Partei-</w:t>
      </w:r>
      <w:r w:rsidR="00594AEF">
        <w:t xml:space="preserve">Mitgliedschaft sind widersprüchlich. </w:t>
      </w:r>
      <w:r>
        <w:t xml:space="preserve">Ernst Bloch hatte die Moskauer Prozesse </w:t>
      </w:r>
      <w:r w:rsidR="0097057E">
        <w:t xml:space="preserve">in spektakulärer Form </w:t>
      </w:r>
      <w:r>
        <w:t xml:space="preserve">publizistisch gerechtfertigt (Ernst Bloch: Kritik einer </w:t>
      </w:r>
      <w:proofErr w:type="spellStart"/>
      <w:r>
        <w:t>Prozeßkritik</w:t>
      </w:r>
      <w:proofErr w:type="spellEnd"/>
      <w:r>
        <w:t xml:space="preserve">. In: </w:t>
      </w:r>
      <w:r>
        <w:rPr>
          <w:i/>
        </w:rPr>
        <w:t>Neue Weltbühne</w:t>
      </w:r>
      <w:r>
        <w:t xml:space="preserve"> 33 [1937], Nr. 10 v. 4. März 1937, S. 295 ff.)</w:t>
      </w:r>
      <w:r w:rsidR="00594AEF">
        <w:t xml:space="preserve">; der Sachverhalt legt </w:t>
      </w:r>
      <w:r w:rsidR="007F1226">
        <w:t xml:space="preserve">möglicherweise </w:t>
      </w:r>
      <w:proofErr w:type="spellStart"/>
      <w:r w:rsidR="007F1226">
        <w:t>sogar</w:t>
      </w:r>
      <w:r w:rsidR="00594AEF">
        <w:t>eine</w:t>
      </w:r>
      <w:proofErr w:type="spellEnd"/>
      <w:r w:rsidR="00594AEF">
        <w:t xml:space="preserve"> „getarnte“ Mitgliedschaft nahe.</w:t>
      </w:r>
      <w:r>
        <w:t xml:space="preserve"> </w:t>
      </w:r>
      <w:r w:rsidR="007F1226">
        <w:t>– Z</w:t>
      </w:r>
      <w:r w:rsidR="00594AEF">
        <w:t xml:space="preserve">u Blochs Rechtfertigung der Prozesse </w:t>
      </w:r>
      <w:r>
        <w:t xml:space="preserve">vgl. Hans-Albert Walter: Die Hinrichtung als Rückkehr ins kommunistische Jenseits: Ernst Blochs Rechtfertigung der Moskauer Prozesse. – In: Hermann Weber/Dietrich Staritz (Hrsg.): </w:t>
      </w:r>
      <w:r>
        <w:rPr>
          <w:i/>
        </w:rPr>
        <w:t xml:space="preserve">Kommunisten verfolgen Kommunisten. </w:t>
      </w:r>
      <w:r w:rsidRPr="00AA187D">
        <w:t>Sta</w:t>
      </w:r>
      <w:r>
        <w:t xml:space="preserve">linistischer Terror und „Säuberungen“ in den Kommunistischen Parteien Europas seit den dreißiger Jahren. Berlin 1993, S. 344 </w:t>
      </w:r>
      <w:r w:rsidR="00600439">
        <w:t>-</w:t>
      </w:r>
      <w:r>
        <w:t xml:space="preserve"> 372.</w:t>
      </w:r>
    </w:p>
  </w:footnote>
  <w:footnote w:id="4">
    <w:p w:rsidR="00E80CC4" w:rsidRPr="008719C7" w:rsidRDefault="00E80CC4">
      <w:pPr>
        <w:pStyle w:val="Funotentext"/>
      </w:pPr>
      <w:r>
        <w:rPr>
          <w:rStyle w:val="Funotenzeichen"/>
        </w:rPr>
        <w:footnoteRef/>
      </w:r>
      <w:r>
        <w:t xml:space="preserve"> </w:t>
      </w:r>
      <w:r>
        <w:rPr>
          <w:i/>
        </w:rPr>
        <w:t>Die neue Weltbühne,</w:t>
      </w:r>
      <w:r>
        <w:t xml:space="preserve"> 9. Dezember 1937, S. 1568 – 1572. – Der Beitrag wurde mit folgender redaktioneller Vorbemerkung eingeleitet: „Die vorliegende Kollektivarbeit, hervorgegangen aus einem Vortrag Eislers im Kreise deutscher Volksfront-Anhänger und der anschließenden Diskussion, entwickelt den gemeinsamen Standpunkt der beiden Verfasser in antithetischer Form, als Zwiegespräch zwischen einem Optimisten (O) und einem Skeptiker (S).“ – Der Beitrag wird hier zitiert nach Hanns Eisler: </w:t>
      </w:r>
      <w:r w:rsidRPr="00AB22CA">
        <w:rPr>
          <w:i/>
        </w:rPr>
        <w:t>Materialien zu einer Dialektik der</w:t>
      </w:r>
      <w:r>
        <w:t xml:space="preserve"> </w:t>
      </w:r>
      <w:r w:rsidRPr="00AB22CA">
        <w:rPr>
          <w:i/>
        </w:rPr>
        <w:t>Musik</w:t>
      </w:r>
      <w:r>
        <w:t>. Hrsg. von Manfred Grabs. Leipzig 1973, S. 149 – 156.</w:t>
      </w:r>
    </w:p>
  </w:footnote>
  <w:footnote w:id="5">
    <w:p w:rsidR="00E80CC4" w:rsidRPr="008719C7" w:rsidRDefault="00E80CC4">
      <w:pPr>
        <w:pStyle w:val="Funotentext"/>
      </w:pPr>
      <w:r>
        <w:rPr>
          <w:rStyle w:val="Funotenzeichen"/>
        </w:rPr>
        <w:footnoteRef/>
      </w:r>
      <w:r>
        <w:t xml:space="preserve"> </w:t>
      </w:r>
      <w:r>
        <w:rPr>
          <w:i/>
        </w:rPr>
        <w:t xml:space="preserve">Die neue Weltbühne, </w:t>
      </w:r>
      <w:r>
        <w:t>6. Januar 1938, S. 13 – 18, hier zitiert nach Hanns Eisler: Materialien zu einer Dialektik der Musik. Hrsg. von Manfred Grabs. Leipzig 1973, S. 157 – 163.</w:t>
      </w:r>
    </w:p>
  </w:footnote>
  <w:footnote w:id="6">
    <w:p w:rsidR="00E80CC4" w:rsidRPr="00754CBF" w:rsidRDefault="00E80CC4">
      <w:pPr>
        <w:pStyle w:val="Funotentext"/>
      </w:pPr>
      <w:r>
        <w:rPr>
          <w:rStyle w:val="Funotenzeichen"/>
        </w:rPr>
        <w:footnoteRef/>
      </w:r>
      <w:r>
        <w:t xml:space="preserve"> Bloch und Eisler waren über die geringen Chancen einer Publikation der Beiträge in den beiden Zeitschriften sicherlich durch Brecht informiert worden. Obwohl Brecht nominell Mitglied der Redaktion der Zeitschrift </w:t>
      </w:r>
      <w:r>
        <w:rPr>
          <w:i/>
        </w:rPr>
        <w:t>Das Wort</w:t>
      </w:r>
      <w:r>
        <w:t xml:space="preserve"> war, hatte er keinen oder nur stark begrenzten Einfluss auf die Auswahl von Beiträgen. Brecht selber war ebenso wie Walter Benjamin in den Moskauer Zeitschriften mit literaturtheoretischen Beiträgen </w:t>
      </w:r>
      <w:r>
        <w:rPr>
          <w:i/>
        </w:rPr>
        <w:t>nicht</w:t>
      </w:r>
      <w:r>
        <w:t xml:space="preserve"> vertreten.</w:t>
      </w:r>
    </w:p>
  </w:footnote>
  <w:footnote w:id="7">
    <w:p w:rsidR="00E80CC4" w:rsidRPr="00E93804" w:rsidRDefault="00E80CC4" w:rsidP="00E93804">
      <w:pPr>
        <w:pStyle w:val="Funotentext"/>
      </w:pPr>
      <w:r>
        <w:rPr>
          <w:rStyle w:val="Funotenzeichen"/>
        </w:rPr>
        <w:footnoteRef/>
      </w:r>
      <w:r>
        <w:t xml:space="preserve"> Nur wenige Exilanten – wie z.B. Rudolf </w:t>
      </w:r>
      <w:proofErr w:type="spellStart"/>
      <w:r>
        <w:t>Olden</w:t>
      </w:r>
      <w:proofErr w:type="spellEnd"/>
      <w:r>
        <w:t xml:space="preserve"> – gingen zu diesem Zeitpunkt davon aus, dass </w:t>
      </w:r>
      <w:r>
        <w:rPr>
          <w:i/>
        </w:rPr>
        <w:t>Die neue Weltbühne</w:t>
      </w:r>
      <w:r>
        <w:t xml:space="preserve"> indirekt von Moskau gesteuert wurde. In Bezug auf die </w:t>
      </w:r>
      <w:r>
        <w:rPr>
          <w:i/>
        </w:rPr>
        <w:t>Neuen Deutschen Blätter</w:t>
      </w:r>
      <w:r>
        <w:t xml:space="preserve"> war man in dieser Frage einhelliger Meinung gewesen. Bei der </w:t>
      </w:r>
      <w:r>
        <w:rPr>
          <w:i/>
        </w:rPr>
        <w:t>Neuen Weltbühne</w:t>
      </w:r>
      <w:r>
        <w:t xml:space="preserve"> war das jedoch nicht der Fall.</w:t>
      </w:r>
    </w:p>
  </w:footnote>
  <w:footnote w:id="8">
    <w:p w:rsidR="00E80CC4" w:rsidRPr="00762F45" w:rsidRDefault="00E80CC4">
      <w:pPr>
        <w:pStyle w:val="Funotentext"/>
      </w:pPr>
      <w:r>
        <w:rPr>
          <w:rStyle w:val="Funotenzeichen"/>
        </w:rPr>
        <w:footnoteRef/>
      </w:r>
      <w:r>
        <w:t xml:space="preserve"> Eisler: </w:t>
      </w:r>
      <w:r>
        <w:rPr>
          <w:i/>
        </w:rPr>
        <w:t>Materialien</w:t>
      </w:r>
      <w:r>
        <w:t>, S. 156.</w:t>
      </w:r>
    </w:p>
  </w:footnote>
  <w:footnote w:id="9">
    <w:p w:rsidR="00E80CC4" w:rsidRDefault="00E80CC4" w:rsidP="000E49C6">
      <w:pPr>
        <w:pStyle w:val="Funotentext"/>
      </w:pPr>
      <w:r>
        <w:rPr>
          <w:rStyle w:val="Funotenzeichen"/>
        </w:rPr>
        <w:footnoteRef/>
      </w:r>
      <w:r>
        <w:t xml:space="preserve"> Ein Kernsatz des Dialogs lautet: „Wenn die beiden Avantgarden [die Kunst-Avantgarde und die KP als Avantgarde des Proletariats] sich immer gründlicher verstehen, wenn der Künstler aus dem notwendigen Experiment zum noch viel notwendigeren Gelingen, aus der einsamen Abstraktion zur Fülle des Gegenstands vorstößt, der heute im sozialen </w:t>
      </w:r>
      <w:proofErr w:type="spellStart"/>
      <w:r>
        <w:t>Prozeß</w:t>
      </w:r>
      <w:proofErr w:type="spellEnd"/>
      <w:r>
        <w:t xml:space="preserve"> ist: unter diesen Voraussetzungen unterliegt das Gemeinsame, ja, fast Identische beider Avantgarden auch theoretisch keinem Zweifel und praktisch keiner Schwierigkeit. Es erfüllt sie das gleiche Ziel, das Ziel der menschlichen Befreiung und der Besiegung des alten Feinds“ (S. 156).</w:t>
      </w:r>
    </w:p>
  </w:footnote>
  <w:footnote w:id="10">
    <w:p w:rsidR="00E80CC4" w:rsidRDefault="00E80CC4">
      <w:pPr>
        <w:pStyle w:val="Funotentext"/>
      </w:pPr>
      <w:r>
        <w:rPr>
          <w:rStyle w:val="Funotenzeichen"/>
        </w:rPr>
        <w:footnoteRef/>
      </w:r>
      <w:r>
        <w:t xml:space="preserve"> S. 157.</w:t>
      </w:r>
    </w:p>
  </w:footnote>
  <w:footnote w:id="11">
    <w:p w:rsidR="00E80CC4" w:rsidRPr="00894FE1" w:rsidRDefault="00E80CC4">
      <w:pPr>
        <w:pStyle w:val="Funotentext"/>
      </w:pPr>
      <w:r>
        <w:rPr>
          <w:rStyle w:val="Funotenzeichen"/>
        </w:rPr>
        <w:footnoteRef/>
      </w:r>
      <w:r>
        <w:t xml:space="preserve"> Bezeichnend ist ebenfalls, dass die Namen prominenter </w:t>
      </w:r>
      <w:r>
        <w:rPr>
          <w:i/>
        </w:rPr>
        <w:t xml:space="preserve">bürgerlicher </w:t>
      </w:r>
      <w:r>
        <w:t xml:space="preserve">Naturwissenschaftler fallen: Planck, Einstein, Rutherford, </w:t>
      </w:r>
      <w:proofErr w:type="spellStart"/>
      <w:r>
        <w:t>Schrödinger</w:t>
      </w:r>
      <w:proofErr w:type="spellEnd"/>
      <w:r>
        <w:t xml:space="preserve">, Heisenberg, Bohr (S. 162), jedoch kein einziger </w:t>
      </w:r>
      <w:r>
        <w:rPr>
          <w:i/>
        </w:rPr>
        <w:t>sowjetischer</w:t>
      </w:r>
      <w:r>
        <w:t xml:space="preserve"> Wissenschaftler genannt wird. Das entspricht nicht dem in der KP üblichen Verfahren.</w:t>
      </w:r>
    </w:p>
  </w:footnote>
  <w:footnote w:id="12">
    <w:p w:rsidR="00E80CC4" w:rsidRDefault="00E80CC4">
      <w:pPr>
        <w:pStyle w:val="Funotentext"/>
      </w:pPr>
      <w:r>
        <w:rPr>
          <w:rStyle w:val="Funotenzeichen"/>
        </w:rPr>
        <w:footnoteRef/>
      </w:r>
      <w:r>
        <w:t xml:space="preserve"> S. 161.</w:t>
      </w:r>
    </w:p>
  </w:footnote>
  <w:footnote w:id="13">
    <w:p w:rsidR="00E80CC4" w:rsidRDefault="00E80CC4">
      <w:pPr>
        <w:pStyle w:val="Funotentext"/>
      </w:pPr>
      <w:r>
        <w:rPr>
          <w:rStyle w:val="Funotenzeichen"/>
        </w:rPr>
        <w:footnoteRef/>
      </w:r>
      <w:r>
        <w:t xml:space="preserve"> S. 159.</w:t>
      </w:r>
    </w:p>
  </w:footnote>
  <w:footnote w:id="14">
    <w:p w:rsidR="00E80CC4" w:rsidRDefault="00E80CC4">
      <w:pPr>
        <w:pStyle w:val="Funotentext"/>
      </w:pPr>
      <w:r>
        <w:rPr>
          <w:rStyle w:val="Funotenzeichen"/>
        </w:rPr>
        <w:footnoteRef/>
      </w:r>
      <w:r>
        <w:t xml:space="preserve"> S. 159 f..</w:t>
      </w:r>
    </w:p>
  </w:footnote>
  <w:footnote w:id="15">
    <w:p w:rsidR="00E80CC4" w:rsidRDefault="00E80CC4">
      <w:pPr>
        <w:pStyle w:val="Funotentext"/>
      </w:pPr>
      <w:r>
        <w:rPr>
          <w:rStyle w:val="Funotenzeichen"/>
        </w:rPr>
        <w:footnoteRef/>
      </w:r>
      <w:r>
        <w:t xml:space="preserve"> S. 160.</w:t>
      </w:r>
    </w:p>
  </w:footnote>
  <w:footnote w:id="16">
    <w:p w:rsidR="00E80CC4" w:rsidRDefault="00E80CC4">
      <w:pPr>
        <w:pStyle w:val="Funotentext"/>
      </w:pPr>
      <w:r>
        <w:rPr>
          <w:rStyle w:val="Funotenzeichen"/>
        </w:rPr>
        <w:footnoteRef/>
      </w:r>
      <w:r>
        <w:t xml:space="preserve"> Ebd.</w:t>
      </w:r>
    </w:p>
  </w:footnote>
  <w:footnote w:id="17">
    <w:p w:rsidR="00E80CC4" w:rsidRDefault="00E80CC4" w:rsidP="00A60FE6">
      <w:pPr>
        <w:pStyle w:val="Funotentext"/>
      </w:pPr>
      <w:r>
        <w:rPr>
          <w:rStyle w:val="Funotenzeichen"/>
        </w:rPr>
        <w:footnoteRef/>
      </w:r>
      <w:r>
        <w:t xml:space="preserve"> S. 160.</w:t>
      </w:r>
    </w:p>
  </w:footnote>
  <w:footnote w:id="18">
    <w:p w:rsidR="00E80CC4" w:rsidRDefault="00E80CC4">
      <w:pPr>
        <w:pStyle w:val="Funotentext"/>
      </w:pPr>
      <w:r>
        <w:rPr>
          <w:rStyle w:val="Funotenzeichen"/>
        </w:rPr>
        <w:footnoteRef/>
      </w:r>
      <w:r>
        <w:t xml:space="preserve"> Ebd.</w:t>
      </w:r>
    </w:p>
  </w:footnote>
  <w:footnote w:id="19">
    <w:p w:rsidR="00E80CC4" w:rsidRDefault="00E80CC4">
      <w:pPr>
        <w:pStyle w:val="Funotentext"/>
      </w:pPr>
      <w:r>
        <w:rPr>
          <w:rStyle w:val="Funotenzeichen"/>
        </w:rPr>
        <w:footnoteRef/>
      </w:r>
      <w:r>
        <w:t xml:space="preserve"> S. 161.</w:t>
      </w:r>
    </w:p>
  </w:footnote>
  <w:footnote w:id="20">
    <w:p w:rsidR="00E80CC4" w:rsidRDefault="00E80CC4">
      <w:pPr>
        <w:pStyle w:val="Funotentext"/>
      </w:pPr>
      <w:r>
        <w:rPr>
          <w:rStyle w:val="Funotenzeichen"/>
        </w:rPr>
        <w:footnoteRef/>
      </w:r>
      <w:r>
        <w:t xml:space="preserve"> Ebd.</w:t>
      </w:r>
    </w:p>
  </w:footnote>
  <w:footnote w:id="21">
    <w:p w:rsidR="00E80CC4" w:rsidRDefault="00E80CC4">
      <w:pPr>
        <w:pStyle w:val="Funotentext"/>
      </w:pPr>
      <w:r>
        <w:rPr>
          <w:rStyle w:val="Funotenzeichen"/>
        </w:rPr>
        <w:footnoteRef/>
      </w:r>
      <w:r>
        <w:t xml:space="preserve"> Lukács‘ Name wird in der Diskussion ausdrücklich angeführt (ebd.). </w:t>
      </w:r>
    </w:p>
  </w:footnote>
  <w:footnote w:id="22">
    <w:p w:rsidR="00E80CC4" w:rsidRDefault="00E80CC4">
      <w:pPr>
        <w:pStyle w:val="Funotentext"/>
      </w:pPr>
      <w:r>
        <w:rPr>
          <w:rStyle w:val="Funotenzeichen"/>
        </w:rPr>
        <w:footnoteRef/>
      </w:r>
      <w:r>
        <w:t xml:space="preserve"> Ebd.</w:t>
      </w:r>
    </w:p>
  </w:footnote>
  <w:footnote w:id="23">
    <w:p w:rsidR="00E80CC4" w:rsidRDefault="00E80CC4" w:rsidP="00185B9D">
      <w:pPr>
        <w:pStyle w:val="Funotentext"/>
      </w:pPr>
      <w:r>
        <w:rPr>
          <w:rStyle w:val="Funotenzeichen"/>
        </w:rPr>
        <w:footnoteRef/>
      </w:r>
      <w:r>
        <w:t xml:space="preserve"> S. 163.</w:t>
      </w:r>
    </w:p>
  </w:footnote>
  <w:footnote w:id="24">
    <w:p w:rsidR="00E80CC4" w:rsidRPr="00F51611" w:rsidRDefault="00E80CC4">
      <w:pPr>
        <w:pStyle w:val="Funotentext"/>
        <w:rPr>
          <w:i/>
        </w:rPr>
      </w:pPr>
      <w:r>
        <w:rPr>
          <w:rStyle w:val="Funotenzeichen"/>
        </w:rPr>
        <w:footnoteRef/>
      </w:r>
      <w:r>
        <w:t xml:space="preserve"> </w:t>
      </w:r>
      <w:r w:rsidRPr="00BF2C26">
        <w:rPr>
          <w:rFonts w:cs="Times New Roman"/>
        </w:rPr>
        <w:t>Jg. 9 (1939), H</w:t>
      </w:r>
      <w:r>
        <w:rPr>
          <w:rFonts w:cs="Times New Roman"/>
        </w:rPr>
        <w:t>.</w:t>
      </w:r>
      <w:r w:rsidRPr="00BF2C26">
        <w:rPr>
          <w:rFonts w:cs="Times New Roman"/>
        </w:rPr>
        <w:t xml:space="preserve"> 5, S. 97 – 121</w:t>
      </w:r>
      <w:r>
        <w:rPr>
          <w:rFonts w:cs="Times New Roman"/>
        </w:rPr>
        <w:t>. – D</w:t>
      </w:r>
      <w:r>
        <w:t xml:space="preserve">ie Seghers-Briefe werden zitiert nach: Anna Seghers: </w:t>
      </w:r>
      <w:r>
        <w:rPr>
          <w:i/>
        </w:rPr>
        <w:t>Über Kunstwerk und Wirklichkeit.</w:t>
      </w:r>
      <w:r>
        <w:t xml:space="preserve"> Bd. 1: </w:t>
      </w:r>
      <w:r>
        <w:rPr>
          <w:i/>
        </w:rPr>
        <w:t xml:space="preserve">Die Tendenz in der reinen Kunst. </w:t>
      </w:r>
      <w:r>
        <w:t xml:space="preserve">Bearbeitet u. eingeleitet von Sigrid Bock. Berlin 1970, Lukács‘ Antwortbriefe nach: </w:t>
      </w:r>
      <w:r>
        <w:rPr>
          <w:i/>
        </w:rPr>
        <w:t xml:space="preserve">Die </w:t>
      </w:r>
      <w:proofErr w:type="spellStart"/>
      <w:r>
        <w:rPr>
          <w:i/>
        </w:rPr>
        <w:t>Expressionismusdebatte</w:t>
      </w:r>
      <w:proofErr w:type="spellEnd"/>
      <w:r>
        <w:rPr>
          <w:i/>
        </w:rPr>
        <w:t>.</w:t>
      </w:r>
      <w:r>
        <w:t xml:space="preserve"> Materialien zu einer marxistischen </w:t>
      </w:r>
      <w:proofErr w:type="spellStart"/>
      <w:r>
        <w:t>Realismuskonzeption</w:t>
      </w:r>
      <w:proofErr w:type="spellEnd"/>
      <w:r>
        <w:t>. Hrsg. von Hans-Jürgen Schmitt. Frankfurt a.M. 1978.</w:t>
      </w:r>
      <w:r>
        <w:rPr>
          <w:i/>
        </w:rPr>
        <w:t xml:space="preserve"> </w:t>
      </w:r>
    </w:p>
  </w:footnote>
  <w:footnote w:id="25">
    <w:p w:rsidR="00E80CC4" w:rsidRPr="00AE6134" w:rsidRDefault="00E80CC4" w:rsidP="00AC0438">
      <w:pPr>
        <w:pStyle w:val="Funotentext"/>
      </w:pPr>
      <w:r>
        <w:rPr>
          <w:rStyle w:val="Funotenzeichen"/>
        </w:rPr>
        <w:footnoteRef/>
      </w:r>
      <w:r>
        <w:t xml:space="preserve"> Georg Lukács: Es geht um den Realismus. In: </w:t>
      </w:r>
      <w:r>
        <w:rPr>
          <w:i/>
        </w:rPr>
        <w:t>Das Wort</w:t>
      </w:r>
      <w:r>
        <w:t xml:space="preserve"> 3 (1938), H. 6, S. 112 – 138. Der Aufsatz endet mit dem Satz: „Den innigen, vielseitigen, vielseitig vermittelten </w:t>
      </w:r>
      <w:r w:rsidRPr="00AE6134">
        <w:rPr>
          <w:i/>
        </w:rPr>
        <w:t xml:space="preserve">Zusammenhang zwischen </w:t>
      </w:r>
      <w:r>
        <w:rPr>
          <w:i/>
        </w:rPr>
        <w:t xml:space="preserve">Volksfront, Volkstümlichkeit der Literatur und wirklichem Realismus </w:t>
      </w:r>
      <w:r>
        <w:t xml:space="preserve">nachzuweisen, war die Aufgabe dieser Betrachtung“ (S. 138 – Hervorhebung im Original). Formal formulierte Alfred </w:t>
      </w:r>
      <w:proofErr w:type="spellStart"/>
      <w:r>
        <w:t>Kurella</w:t>
      </w:r>
      <w:proofErr w:type="spellEnd"/>
      <w:r>
        <w:t xml:space="preserve"> (Bernhard Ziegler) das „</w:t>
      </w:r>
      <w:proofErr w:type="spellStart"/>
      <w:r>
        <w:t>Schlußwort</w:t>
      </w:r>
      <w:proofErr w:type="spellEnd"/>
      <w:r>
        <w:t>“ der Debatte.</w:t>
      </w:r>
    </w:p>
  </w:footnote>
  <w:footnote w:id="26">
    <w:p w:rsidR="00E80CC4" w:rsidRPr="00BC7390" w:rsidRDefault="00E80CC4">
      <w:pPr>
        <w:pStyle w:val="Funotentext"/>
      </w:pPr>
      <w:r>
        <w:rPr>
          <w:rStyle w:val="Funotenzeichen"/>
        </w:rPr>
        <w:footnoteRef/>
      </w:r>
      <w:r>
        <w:t xml:space="preserve"> Auch in der </w:t>
      </w:r>
      <w:r>
        <w:rPr>
          <w:i/>
        </w:rPr>
        <w:t>Linkskurven-</w:t>
      </w:r>
      <w:r>
        <w:t>Debatte war Lukács als Vertreter Moskaus aufgetreten. Auch hier war sein Standpunkt sakrosankt gewesen.</w:t>
      </w:r>
    </w:p>
  </w:footnote>
  <w:footnote w:id="27">
    <w:p w:rsidR="00E80CC4" w:rsidRPr="00CF4882" w:rsidRDefault="00E80CC4">
      <w:pPr>
        <w:pStyle w:val="Funotentext"/>
      </w:pPr>
      <w:r>
        <w:rPr>
          <w:rStyle w:val="Funotenzeichen"/>
        </w:rPr>
        <w:footnoteRef/>
      </w:r>
      <w:r>
        <w:t xml:space="preserve"> Ich teile bei der Beurteilung der Briefe an Lukács die Meinung von Christiane </w:t>
      </w:r>
      <w:proofErr w:type="spellStart"/>
      <w:r>
        <w:t>Zehl</w:t>
      </w:r>
      <w:proofErr w:type="spellEnd"/>
      <w:r>
        <w:t xml:space="preserve"> Romero, dass Anna Seghers den Auffassungen von Bloch und Eisler näher stand als denen von Lukács (Christiane </w:t>
      </w:r>
      <w:proofErr w:type="spellStart"/>
      <w:r>
        <w:t>Zehl</w:t>
      </w:r>
      <w:proofErr w:type="spellEnd"/>
      <w:r>
        <w:t xml:space="preserve"> Romero: </w:t>
      </w:r>
      <w:r>
        <w:rPr>
          <w:i/>
        </w:rPr>
        <w:t>Anna Seghers.</w:t>
      </w:r>
      <w:r>
        <w:t xml:space="preserve"> Eine Biographie. 1900 – 1947. Berlin 2000, S. 308). Anders als </w:t>
      </w:r>
      <w:proofErr w:type="spellStart"/>
      <w:r>
        <w:t>Zehl</w:t>
      </w:r>
      <w:proofErr w:type="spellEnd"/>
      <w:r>
        <w:t xml:space="preserve"> Romero, die sich hier auf das Urteil von Dieter Schiller beruft, bin ich jedoch davon überzeugt, dass die Befürchtung der Redaktion von </w:t>
      </w:r>
      <w:r>
        <w:rPr>
          <w:i/>
        </w:rPr>
        <w:t>Das Wort</w:t>
      </w:r>
      <w:r>
        <w:t xml:space="preserve">, hier käme es zu einem „‚Bandwurm‘ von Briefen“ (S. 307), nur ein </w:t>
      </w:r>
      <w:r w:rsidRPr="00FE60D6">
        <w:rPr>
          <w:i/>
        </w:rPr>
        <w:t>Vorwand</w:t>
      </w:r>
      <w:r>
        <w:t xml:space="preserve"> war, um den Abdruck des Briefes abzulehnen. Bei der Expressionismus-Debatte handelte es sich zweifelsohne um eine politisch „gelenkte“, keine sich frei entwickelnde Debatte. An einer Differenzierung des Standpunktes, den Lukács formuliert hatte, bestand </w:t>
      </w:r>
      <w:r>
        <w:rPr>
          <w:i/>
        </w:rPr>
        <w:t>zu diesem Zeitpunkt</w:t>
      </w:r>
      <w:r>
        <w:t xml:space="preserve"> in Moskau kein Interesse.</w:t>
      </w:r>
    </w:p>
  </w:footnote>
  <w:footnote w:id="28">
    <w:p w:rsidR="00E80CC4" w:rsidRPr="0002776F" w:rsidRDefault="00E80CC4">
      <w:pPr>
        <w:pStyle w:val="Funotentext"/>
      </w:pPr>
      <w:r>
        <w:rPr>
          <w:rStyle w:val="Funotenzeichen"/>
        </w:rPr>
        <w:footnoteRef/>
      </w:r>
      <w:r>
        <w:t xml:space="preserve"> </w:t>
      </w:r>
      <w:r w:rsidRPr="00CC1947">
        <w:rPr>
          <w:rFonts w:cs="Times New Roman"/>
        </w:rPr>
        <w:t xml:space="preserve">Bereits im Juli 1937 schreibt </w:t>
      </w:r>
      <w:r>
        <w:rPr>
          <w:rFonts w:cs="Times New Roman"/>
        </w:rPr>
        <w:t xml:space="preserve">Walter </w:t>
      </w:r>
      <w:r w:rsidRPr="00CC1947">
        <w:rPr>
          <w:rFonts w:cs="Times New Roman"/>
        </w:rPr>
        <w:t xml:space="preserve">Benjamin </w:t>
      </w:r>
      <w:r>
        <w:rPr>
          <w:rFonts w:cs="Times New Roman"/>
        </w:rPr>
        <w:t xml:space="preserve">über diese Stimmungsverschlechterung </w:t>
      </w:r>
      <w:r w:rsidRPr="00CC1947">
        <w:rPr>
          <w:rFonts w:cs="Times New Roman"/>
        </w:rPr>
        <w:t xml:space="preserve">an Fritz Lieb: </w:t>
      </w:r>
      <w:r w:rsidRPr="00CC1947">
        <w:t>„Über die Emigration weiß ich wenig zu sagen […]. Die zerstörende Wirkung der russischen Ereignisse wird notwendig immer weiter um sich greifen. Und dabei ist das Schlimme nicht die schnellfertige Entrüstung der unentwegten Kämpfer für die ‚Gedankenfreiheit‘; viel trauriger und viel notwendiger zugleich scheint mir das Verstummen der Denkenden, die sich, eben als Denkende, schwerlich für Wissende halten können. Das ist mein Fall, auch wohl der Deine“</w:t>
      </w:r>
      <w:r>
        <w:t xml:space="preserve"> (Walter Benjamin: </w:t>
      </w:r>
      <w:r>
        <w:rPr>
          <w:i/>
        </w:rPr>
        <w:t>Briefe.</w:t>
      </w:r>
      <w:r>
        <w:t xml:space="preserve"> Bd. 2. Hrsg. von Gershom Scholem u. Theodor W. Adorno. Frankfurt 1966, S. 733). Ebenso verhält es sich mit Klaus Mann, wie an seinen Tagebuchaufzeichnungen von 1937 zu erkennen ist (Klaus Mann: </w:t>
      </w:r>
      <w:r>
        <w:rPr>
          <w:i/>
        </w:rPr>
        <w:t>Tagebücher 1936 bis 1937.</w:t>
      </w:r>
      <w:r>
        <w:t xml:space="preserve"> Hrsg. von Joachim Heimannsberg, Peter Laemmle u. Wilfried F. Schoeller. München 1990).</w:t>
      </w:r>
    </w:p>
  </w:footnote>
  <w:footnote w:id="29">
    <w:p w:rsidR="00E80CC4" w:rsidRPr="004C6ECD" w:rsidRDefault="00E80CC4">
      <w:pPr>
        <w:pStyle w:val="Funotentext"/>
      </w:pPr>
      <w:r>
        <w:rPr>
          <w:rStyle w:val="Funotenzeichen"/>
        </w:rPr>
        <w:footnoteRef/>
      </w:r>
      <w:r>
        <w:t xml:space="preserve"> Zu den Dokumenten, die über den Vorgang veröffentlicht wurden, vgl. Reinhard Müller: Aus der Moskauer „Kaderakte“ Arthur Koestlers – Zur Vorgeschichte von „Sonnenfinsternis“. In: </w:t>
      </w:r>
      <w:r>
        <w:rPr>
          <w:i/>
        </w:rPr>
        <w:t>Exil</w:t>
      </w:r>
      <w:r>
        <w:t xml:space="preserve"> 24 (2004), H. 2, S. 44 – 60.</w:t>
      </w:r>
    </w:p>
  </w:footnote>
  <w:footnote w:id="30">
    <w:p w:rsidR="00E80CC4" w:rsidRPr="008371A8" w:rsidRDefault="00E80CC4">
      <w:pPr>
        <w:pStyle w:val="Funotentext"/>
      </w:pPr>
      <w:r>
        <w:rPr>
          <w:rStyle w:val="Funotenzeichen"/>
        </w:rPr>
        <w:footnoteRef/>
      </w:r>
      <w:r>
        <w:t xml:space="preserve"> So Hans-Albert Walter (Hans-Albert Walter: </w:t>
      </w:r>
      <w:r>
        <w:rPr>
          <w:i/>
        </w:rPr>
        <w:t>Deutsche Exilliteratur 1933 – 1950.</w:t>
      </w:r>
      <w:r>
        <w:t xml:space="preserve"> Bd. 4: </w:t>
      </w:r>
      <w:r>
        <w:rPr>
          <w:i/>
        </w:rPr>
        <w:t>Exilpresse.</w:t>
      </w:r>
      <w:r>
        <w:t xml:space="preserve"> Stuttgart 1978, S. 142).</w:t>
      </w:r>
    </w:p>
  </w:footnote>
  <w:footnote w:id="31">
    <w:p w:rsidR="00E80CC4" w:rsidRPr="006768B0" w:rsidRDefault="00E80CC4">
      <w:pPr>
        <w:pStyle w:val="Funotentext"/>
      </w:pPr>
      <w:r>
        <w:rPr>
          <w:rStyle w:val="Funotenzeichen"/>
        </w:rPr>
        <w:footnoteRef/>
      </w:r>
      <w:r>
        <w:t xml:space="preserve"> Anna Seghers: </w:t>
      </w:r>
      <w:r>
        <w:rPr>
          <w:i/>
        </w:rPr>
        <w:t xml:space="preserve">Über Kunstwerk und Wirklichkeit, </w:t>
      </w:r>
      <w:r>
        <w:t>a.a.O., S. 173.</w:t>
      </w:r>
    </w:p>
  </w:footnote>
  <w:footnote w:id="32">
    <w:p w:rsidR="00E80CC4" w:rsidRDefault="00E80CC4">
      <w:pPr>
        <w:pStyle w:val="Funotentext"/>
      </w:pPr>
      <w:r>
        <w:rPr>
          <w:rStyle w:val="Funotenzeichen"/>
        </w:rPr>
        <w:footnoteRef/>
      </w:r>
      <w:r>
        <w:t xml:space="preserve"> S. 176 f.</w:t>
      </w:r>
    </w:p>
  </w:footnote>
  <w:footnote w:id="33">
    <w:p w:rsidR="00E80CC4" w:rsidRDefault="00E80CC4">
      <w:pPr>
        <w:pStyle w:val="Funotentext"/>
      </w:pPr>
      <w:r>
        <w:rPr>
          <w:rStyle w:val="Funotenzeichen"/>
        </w:rPr>
        <w:footnoteRef/>
      </w:r>
      <w:r>
        <w:t xml:space="preserve"> S. 174. Hervorhebung – F.T.</w:t>
      </w:r>
    </w:p>
  </w:footnote>
  <w:footnote w:id="34">
    <w:p w:rsidR="00E80CC4" w:rsidRDefault="00E80CC4">
      <w:pPr>
        <w:pStyle w:val="Funotentext"/>
      </w:pPr>
      <w:r>
        <w:rPr>
          <w:rStyle w:val="Funotenzeichen"/>
        </w:rPr>
        <w:footnoteRef/>
      </w:r>
      <w:r>
        <w:t xml:space="preserve"> Ebd. </w:t>
      </w:r>
    </w:p>
  </w:footnote>
  <w:footnote w:id="35">
    <w:p w:rsidR="00E80CC4" w:rsidRDefault="00E80CC4">
      <w:pPr>
        <w:pStyle w:val="Funotentext"/>
      </w:pPr>
      <w:r>
        <w:rPr>
          <w:rStyle w:val="Funotenzeichen"/>
        </w:rPr>
        <w:footnoteRef/>
      </w:r>
      <w:r>
        <w:t xml:space="preserve"> S. 176 f. Hervorhebung – F.T.</w:t>
      </w:r>
    </w:p>
  </w:footnote>
  <w:footnote w:id="36">
    <w:p w:rsidR="00E80CC4" w:rsidRDefault="00E80CC4">
      <w:pPr>
        <w:pStyle w:val="Funotentext"/>
      </w:pPr>
      <w:r>
        <w:rPr>
          <w:rStyle w:val="Funotenzeichen"/>
        </w:rPr>
        <w:footnoteRef/>
      </w:r>
      <w:r>
        <w:t xml:space="preserve"> Sie setzt sich im Anschluss an diese Passage intensiver mit der Kritik auseinander, wobei selbst die positiv klingenden Urteile: „Vicki Baum hat sogar schon vor dem Hitlerfaschismus recht ordentliche Sachen geschrieben“ (S. 179), durch doppelbödig sind.</w:t>
      </w:r>
    </w:p>
  </w:footnote>
  <w:footnote w:id="37">
    <w:p w:rsidR="00E80CC4" w:rsidRDefault="00E80CC4">
      <w:pPr>
        <w:pStyle w:val="Funotentext"/>
      </w:pPr>
      <w:r>
        <w:rPr>
          <w:rStyle w:val="Funotenzeichen"/>
        </w:rPr>
        <w:footnoteRef/>
      </w:r>
      <w:r>
        <w:t xml:space="preserve"> S. 177.</w:t>
      </w:r>
    </w:p>
  </w:footnote>
  <w:footnote w:id="38">
    <w:p w:rsidR="00E80CC4" w:rsidRDefault="00E80CC4" w:rsidP="00D14457">
      <w:pPr>
        <w:pStyle w:val="Funotentext"/>
      </w:pPr>
      <w:r>
        <w:rPr>
          <w:rStyle w:val="Funotenzeichen"/>
        </w:rPr>
        <w:footnoteRef/>
      </w:r>
      <w:r>
        <w:t xml:space="preserve"> S. 183.</w:t>
      </w:r>
    </w:p>
  </w:footnote>
  <w:footnote w:id="39">
    <w:p w:rsidR="00E80CC4" w:rsidRDefault="00E80CC4">
      <w:pPr>
        <w:pStyle w:val="Funotentext"/>
      </w:pPr>
      <w:r>
        <w:rPr>
          <w:rStyle w:val="Funotenzeichen"/>
        </w:rPr>
        <w:footnoteRef/>
      </w:r>
      <w:r>
        <w:t xml:space="preserve"> S. 177. Hervorhebung – F.T.</w:t>
      </w:r>
    </w:p>
  </w:footnote>
  <w:footnote w:id="40">
    <w:p w:rsidR="00E80CC4" w:rsidRDefault="00E80CC4">
      <w:pPr>
        <w:pStyle w:val="Funotentext"/>
      </w:pPr>
      <w:r>
        <w:rPr>
          <w:rStyle w:val="Funotenzeichen"/>
        </w:rPr>
        <w:footnoteRef/>
      </w:r>
      <w:r>
        <w:t xml:space="preserve"> Ebd. Hervorhebung – F.T.</w:t>
      </w:r>
    </w:p>
  </w:footnote>
  <w:footnote w:id="41">
    <w:p w:rsidR="00E80CC4" w:rsidRDefault="00E80CC4" w:rsidP="00EE1E7F">
      <w:pPr>
        <w:spacing w:after="0" w:line="240" w:lineRule="auto"/>
      </w:pPr>
      <w:r>
        <w:rPr>
          <w:rStyle w:val="Funotenzeichen"/>
        </w:rPr>
        <w:footnoteRef/>
      </w:r>
      <w:r>
        <w:t xml:space="preserve"> </w:t>
      </w:r>
      <w:r w:rsidRPr="00E80CC4">
        <w:rPr>
          <w:rFonts w:cs="Times New Roman"/>
        </w:rPr>
        <w:t xml:space="preserve">In ihrem zweiten Brief geht Anna Seghers auf die positive Rolle Lessings und seine historische Leistung als Theoretiker ein. Wiederum jedoch sind die Formulierungen doppeldeutig. Statt es bei den literarhistorisch längst an anerkannten Leistungen zu belassen, erwähnt sie ausgerechnet Lessings eklatante Fehlleistung im Urteil über den „Sturm und Drang“, insbesondere über den jungen Goethe: „sein furchtloser Kampf gegen den Feudalismus in der Kunst [hat] ihn nicht gehindert, den </w:t>
      </w:r>
      <w:r>
        <w:rPr>
          <w:rFonts w:cs="Times New Roman"/>
        </w:rPr>
        <w:t>‚</w:t>
      </w:r>
      <w:r w:rsidRPr="00E80CC4">
        <w:rPr>
          <w:rFonts w:cs="Times New Roman"/>
        </w:rPr>
        <w:t>Götz von Berlichingen</w:t>
      </w:r>
      <w:r>
        <w:rPr>
          <w:rFonts w:cs="Times New Roman"/>
        </w:rPr>
        <w:t>‘</w:t>
      </w:r>
      <w:r w:rsidRPr="00E80CC4">
        <w:rPr>
          <w:rFonts w:cs="Times New Roman"/>
        </w:rPr>
        <w:t xml:space="preserve"> in Grund und Boden zu verdammen. Er nannte den </w:t>
      </w:r>
      <w:r>
        <w:rPr>
          <w:rFonts w:cs="Times New Roman"/>
        </w:rPr>
        <w:t>‚</w:t>
      </w:r>
      <w:r w:rsidRPr="00E80CC4">
        <w:rPr>
          <w:rFonts w:cs="Times New Roman"/>
        </w:rPr>
        <w:t>Götz</w:t>
      </w:r>
      <w:r>
        <w:rPr>
          <w:rFonts w:cs="Times New Roman"/>
        </w:rPr>
        <w:t>‘</w:t>
      </w:r>
      <w:r w:rsidRPr="00E80CC4">
        <w:rPr>
          <w:rFonts w:cs="Times New Roman"/>
        </w:rPr>
        <w:t xml:space="preserve"> einen leeren aufgeblasenen Darm, erkannte in diesem Stück nicht das Werk eines großen Bundesgenossen“</w:t>
      </w:r>
      <w:r>
        <w:rPr>
          <w:rFonts w:cs="Times New Roman"/>
        </w:rPr>
        <w:t xml:space="preserve"> (S. 184)</w:t>
      </w:r>
      <w:r w:rsidRPr="00E80CC4">
        <w:rPr>
          <w:rFonts w:cs="Times New Roman"/>
        </w:rPr>
        <w:t>.</w:t>
      </w:r>
      <w:r>
        <w:rPr>
          <w:rFonts w:cs="Times New Roman"/>
        </w:rPr>
        <w:t xml:space="preserve"> – I</w:t>
      </w:r>
      <w:r w:rsidRPr="00E80CC4">
        <w:rPr>
          <w:rFonts w:cs="Times New Roman"/>
        </w:rPr>
        <w:t xml:space="preserve">st es abwegig, dieses Beispiel so zu deuten, dass auch Lukács – der mit Lessing vergleichbare überragende Kunstkritiker der Periode – die epochale Leistung eines Brecht, eines </w:t>
      </w:r>
      <w:proofErr w:type="spellStart"/>
      <w:r w:rsidRPr="00E80CC4">
        <w:rPr>
          <w:rFonts w:cs="Times New Roman"/>
        </w:rPr>
        <w:t>präsumptiven</w:t>
      </w:r>
      <w:proofErr w:type="spellEnd"/>
      <w:r w:rsidRPr="00E80CC4">
        <w:rPr>
          <w:rFonts w:cs="Times New Roman"/>
        </w:rPr>
        <w:t xml:space="preserve"> „Klassikers“, verkennt und </w:t>
      </w:r>
      <w:r>
        <w:rPr>
          <w:rFonts w:cs="Times New Roman"/>
        </w:rPr>
        <w:t>ihn</w:t>
      </w:r>
      <w:r w:rsidRPr="00E80CC4">
        <w:rPr>
          <w:rFonts w:cs="Times New Roman"/>
        </w:rPr>
        <w:t xml:space="preserve"> daher wie Lessing den jungen Goethe „in Grund und Boden“ verdammt?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5922"/>
      <w:docPartObj>
        <w:docPartGallery w:val="Page Numbers (Top of Page)"/>
        <w:docPartUnique/>
      </w:docPartObj>
    </w:sdtPr>
    <w:sdtContent>
      <w:p w:rsidR="00E80CC4" w:rsidRDefault="00FC5030">
        <w:pPr>
          <w:pStyle w:val="Kopfzeile"/>
          <w:jc w:val="right"/>
        </w:pPr>
        <w:fldSimple w:instr=" PAGE   \* MERGEFORMAT ">
          <w:r w:rsidR="007261FB">
            <w:rPr>
              <w:noProof/>
            </w:rPr>
            <w:t>2</w:t>
          </w:r>
        </w:fldSimple>
      </w:p>
    </w:sdtContent>
  </w:sdt>
  <w:p w:rsidR="00E80CC4" w:rsidRDefault="00E80CC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footnotePr>
    <w:footnote w:id="-1"/>
    <w:footnote w:id="0"/>
  </w:footnotePr>
  <w:endnotePr>
    <w:endnote w:id="-1"/>
    <w:endnote w:id="0"/>
  </w:endnotePr>
  <w:compat/>
  <w:rsids>
    <w:rsidRoot w:val="009F2CE7"/>
    <w:rsid w:val="0001661E"/>
    <w:rsid w:val="00016663"/>
    <w:rsid w:val="0002776F"/>
    <w:rsid w:val="0003778B"/>
    <w:rsid w:val="000455A4"/>
    <w:rsid w:val="000559DD"/>
    <w:rsid w:val="00062BC7"/>
    <w:rsid w:val="00064E5C"/>
    <w:rsid w:val="000739A6"/>
    <w:rsid w:val="00077E13"/>
    <w:rsid w:val="00081210"/>
    <w:rsid w:val="00083E1E"/>
    <w:rsid w:val="00085A32"/>
    <w:rsid w:val="000937E9"/>
    <w:rsid w:val="00094293"/>
    <w:rsid w:val="000A6EF5"/>
    <w:rsid w:val="000B1205"/>
    <w:rsid w:val="000B5F5E"/>
    <w:rsid w:val="000B7559"/>
    <w:rsid w:val="000C05AC"/>
    <w:rsid w:val="000E49C6"/>
    <w:rsid w:val="000F1F7E"/>
    <w:rsid w:val="000F3F1A"/>
    <w:rsid w:val="000F433B"/>
    <w:rsid w:val="000F7B4C"/>
    <w:rsid w:val="00103E65"/>
    <w:rsid w:val="0010710C"/>
    <w:rsid w:val="00120D41"/>
    <w:rsid w:val="001270CB"/>
    <w:rsid w:val="00141823"/>
    <w:rsid w:val="00142FB7"/>
    <w:rsid w:val="001602D9"/>
    <w:rsid w:val="00167325"/>
    <w:rsid w:val="001858C6"/>
    <w:rsid w:val="00185B9D"/>
    <w:rsid w:val="001942A8"/>
    <w:rsid w:val="001A1A38"/>
    <w:rsid w:val="001B6613"/>
    <w:rsid w:val="001C2EBA"/>
    <w:rsid w:val="001C3298"/>
    <w:rsid w:val="001D4349"/>
    <w:rsid w:val="001D52BB"/>
    <w:rsid w:val="001E43DE"/>
    <w:rsid w:val="001F0037"/>
    <w:rsid w:val="002064FA"/>
    <w:rsid w:val="002220CB"/>
    <w:rsid w:val="00227E47"/>
    <w:rsid w:val="002467F8"/>
    <w:rsid w:val="002501A8"/>
    <w:rsid w:val="00265780"/>
    <w:rsid w:val="00267A1F"/>
    <w:rsid w:val="00276BE9"/>
    <w:rsid w:val="0029056D"/>
    <w:rsid w:val="0029754A"/>
    <w:rsid w:val="002A67EF"/>
    <w:rsid w:val="002B4B5F"/>
    <w:rsid w:val="002B5E45"/>
    <w:rsid w:val="002C389B"/>
    <w:rsid w:val="002E0441"/>
    <w:rsid w:val="002E7A1D"/>
    <w:rsid w:val="002F121F"/>
    <w:rsid w:val="00313F5B"/>
    <w:rsid w:val="003172C3"/>
    <w:rsid w:val="0035224B"/>
    <w:rsid w:val="00354D68"/>
    <w:rsid w:val="0036219D"/>
    <w:rsid w:val="00376783"/>
    <w:rsid w:val="0038377C"/>
    <w:rsid w:val="00391081"/>
    <w:rsid w:val="003A39FB"/>
    <w:rsid w:val="003B2080"/>
    <w:rsid w:val="003D4ADD"/>
    <w:rsid w:val="003D5A1C"/>
    <w:rsid w:val="003D6F77"/>
    <w:rsid w:val="003E1229"/>
    <w:rsid w:val="003E6733"/>
    <w:rsid w:val="00414A65"/>
    <w:rsid w:val="0041527D"/>
    <w:rsid w:val="004179F7"/>
    <w:rsid w:val="00431036"/>
    <w:rsid w:val="00436AF4"/>
    <w:rsid w:val="00452810"/>
    <w:rsid w:val="00456CA6"/>
    <w:rsid w:val="00461D6E"/>
    <w:rsid w:val="00481A2B"/>
    <w:rsid w:val="004B6CB9"/>
    <w:rsid w:val="004C6ECD"/>
    <w:rsid w:val="004F6E29"/>
    <w:rsid w:val="005141BB"/>
    <w:rsid w:val="005253CA"/>
    <w:rsid w:val="00527583"/>
    <w:rsid w:val="00527BD6"/>
    <w:rsid w:val="00557448"/>
    <w:rsid w:val="0057183B"/>
    <w:rsid w:val="0057343A"/>
    <w:rsid w:val="0058003D"/>
    <w:rsid w:val="00581BA4"/>
    <w:rsid w:val="00594AEF"/>
    <w:rsid w:val="00597406"/>
    <w:rsid w:val="005C5A63"/>
    <w:rsid w:val="005E4957"/>
    <w:rsid w:val="005F79D1"/>
    <w:rsid w:val="00600439"/>
    <w:rsid w:val="006335D8"/>
    <w:rsid w:val="00643CC3"/>
    <w:rsid w:val="0064495B"/>
    <w:rsid w:val="0065474B"/>
    <w:rsid w:val="0065655C"/>
    <w:rsid w:val="006625AB"/>
    <w:rsid w:val="00662B47"/>
    <w:rsid w:val="006630B6"/>
    <w:rsid w:val="006729ED"/>
    <w:rsid w:val="00673D9E"/>
    <w:rsid w:val="00675063"/>
    <w:rsid w:val="006768B0"/>
    <w:rsid w:val="00687996"/>
    <w:rsid w:val="0069459E"/>
    <w:rsid w:val="006A29CC"/>
    <w:rsid w:val="006A4C73"/>
    <w:rsid w:val="006B3F34"/>
    <w:rsid w:val="006B65EB"/>
    <w:rsid w:val="006B7811"/>
    <w:rsid w:val="006D65F0"/>
    <w:rsid w:val="006D6B04"/>
    <w:rsid w:val="006E5579"/>
    <w:rsid w:val="006F60A3"/>
    <w:rsid w:val="00700E45"/>
    <w:rsid w:val="007104AC"/>
    <w:rsid w:val="0071242D"/>
    <w:rsid w:val="00723306"/>
    <w:rsid w:val="007261FB"/>
    <w:rsid w:val="00731034"/>
    <w:rsid w:val="0073419B"/>
    <w:rsid w:val="007521CB"/>
    <w:rsid w:val="00754CBF"/>
    <w:rsid w:val="00762F45"/>
    <w:rsid w:val="00770BF6"/>
    <w:rsid w:val="0078715D"/>
    <w:rsid w:val="007B3F2E"/>
    <w:rsid w:val="007C161A"/>
    <w:rsid w:val="007C6430"/>
    <w:rsid w:val="007E4E35"/>
    <w:rsid w:val="007E744C"/>
    <w:rsid w:val="007F1226"/>
    <w:rsid w:val="007F150F"/>
    <w:rsid w:val="008130B3"/>
    <w:rsid w:val="00826FE4"/>
    <w:rsid w:val="008371A8"/>
    <w:rsid w:val="0085515F"/>
    <w:rsid w:val="008623B8"/>
    <w:rsid w:val="00862FC9"/>
    <w:rsid w:val="0086588A"/>
    <w:rsid w:val="008719C7"/>
    <w:rsid w:val="00872237"/>
    <w:rsid w:val="00877DB8"/>
    <w:rsid w:val="008850C8"/>
    <w:rsid w:val="00892CE3"/>
    <w:rsid w:val="00894FE1"/>
    <w:rsid w:val="008A175E"/>
    <w:rsid w:val="008A6380"/>
    <w:rsid w:val="008B15B2"/>
    <w:rsid w:val="008C4E9D"/>
    <w:rsid w:val="008C6E55"/>
    <w:rsid w:val="008E296B"/>
    <w:rsid w:val="008E702B"/>
    <w:rsid w:val="00905735"/>
    <w:rsid w:val="00912F64"/>
    <w:rsid w:val="00931869"/>
    <w:rsid w:val="009326BE"/>
    <w:rsid w:val="009335A5"/>
    <w:rsid w:val="00934540"/>
    <w:rsid w:val="009401AB"/>
    <w:rsid w:val="009408E8"/>
    <w:rsid w:val="00945B9B"/>
    <w:rsid w:val="009474DE"/>
    <w:rsid w:val="009558EC"/>
    <w:rsid w:val="00961747"/>
    <w:rsid w:val="009617F7"/>
    <w:rsid w:val="00965C18"/>
    <w:rsid w:val="0097057E"/>
    <w:rsid w:val="0099736D"/>
    <w:rsid w:val="009A417A"/>
    <w:rsid w:val="009A72A2"/>
    <w:rsid w:val="009B3024"/>
    <w:rsid w:val="009C0CF3"/>
    <w:rsid w:val="009F2CE7"/>
    <w:rsid w:val="00A0079E"/>
    <w:rsid w:val="00A02EAF"/>
    <w:rsid w:val="00A2756A"/>
    <w:rsid w:val="00A457CC"/>
    <w:rsid w:val="00A52898"/>
    <w:rsid w:val="00A56071"/>
    <w:rsid w:val="00A56C2E"/>
    <w:rsid w:val="00A60FE6"/>
    <w:rsid w:val="00A66253"/>
    <w:rsid w:val="00A66573"/>
    <w:rsid w:val="00A76700"/>
    <w:rsid w:val="00A8731B"/>
    <w:rsid w:val="00A96678"/>
    <w:rsid w:val="00AA187D"/>
    <w:rsid w:val="00AB22CA"/>
    <w:rsid w:val="00AB7E1E"/>
    <w:rsid w:val="00AC0438"/>
    <w:rsid w:val="00AE6134"/>
    <w:rsid w:val="00AF47DF"/>
    <w:rsid w:val="00B309CC"/>
    <w:rsid w:val="00B37F0E"/>
    <w:rsid w:val="00B54FE3"/>
    <w:rsid w:val="00B568BF"/>
    <w:rsid w:val="00B56D6F"/>
    <w:rsid w:val="00B81352"/>
    <w:rsid w:val="00B824FF"/>
    <w:rsid w:val="00B87E89"/>
    <w:rsid w:val="00BA1C4A"/>
    <w:rsid w:val="00BA39DF"/>
    <w:rsid w:val="00BA3D7E"/>
    <w:rsid w:val="00BA7FF0"/>
    <w:rsid w:val="00BC686D"/>
    <w:rsid w:val="00BC7390"/>
    <w:rsid w:val="00BD1316"/>
    <w:rsid w:val="00BD4ED8"/>
    <w:rsid w:val="00BD60C6"/>
    <w:rsid w:val="00BF2C26"/>
    <w:rsid w:val="00C25223"/>
    <w:rsid w:val="00C27D55"/>
    <w:rsid w:val="00C30E1F"/>
    <w:rsid w:val="00C314FD"/>
    <w:rsid w:val="00C47733"/>
    <w:rsid w:val="00C47E1C"/>
    <w:rsid w:val="00C53021"/>
    <w:rsid w:val="00C5332B"/>
    <w:rsid w:val="00C633E2"/>
    <w:rsid w:val="00C71BF7"/>
    <w:rsid w:val="00C7567F"/>
    <w:rsid w:val="00C8359D"/>
    <w:rsid w:val="00C9106B"/>
    <w:rsid w:val="00CA0424"/>
    <w:rsid w:val="00CB4AB1"/>
    <w:rsid w:val="00CC1947"/>
    <w:rsid w:val="00CD3F17"/>
    <w:rsid w:val="00CE730C"/>
    <w:rsid w:val="00CF4882"/>
    <w:rsid w:val="00D13442"/>
    <w:rsid w:val="00D14457"/>
    <w:rsid w:val="00D57F72"/>
    <w:rsid w:val="00D953F7"/>
    <w:rsid w:val="00D97DF4"/>
    <w:rsid w:val="00DA79AC"/>
    <w:rsid w:val="00DB346C"/>
    <w:rsid w:val="00DC27D4"/>
    <w:rsid w:val="00DF5C95"/>
    <w:rsid w:val="00E10AC4"/>
    <w:rsid w:val="00E12EF3"/>
    <w:rsid w:val="00E14AE1"/>
    <w:rsid w:val="00E27CB3"/>
    <w:rsid w:val="00E61C3C"/>
    <w:rsid w:val="00E664A3"/>
    <w:rsid w:val="00E80CC4"/>
    <w:rsid w:val="00E844F4"/>
    <w:rsid w:val="00E93804"/>
    <w:rsid w:val="00E940AF"/>
    <w:rsid w:val="00EA1106"/>
    <w:rsid w:val="00ED0501"/>
    <w:rsid w:val="00EE1E7F"/>
    <w:rsid w:val="00EF1A52"/>
    <w:rsid w:val="00EF3EBB"/>
    <w:rsid w:val="00F05477"/>
    <w:rsid w:val="00F26977"/>
    <w:rsid w:val="00F51611"/>
    <w:rsid w:val="00F5429D"/>
    <w:rsid w:val="00F93152"/>
    <w:rsid w:val="00FA3BA8"/>
    <w:rsid w:val="00FA53DB"/>
    <w:rsid w:val="00FB0BE8"/>
    <w:rsid w:val="00FC11B5"/>
    <w:rsid w:val="00FC3E27"/>
    <w:rsid w:val="00FC5030"/>
    <w:rsid w:val="00FD7911"/>
    <w:rsid w:val="00FE55A1"/>
    <w:rsid w:val="00FE60D6"/>
    <w:rsid w:val="00FF076C"/>
    <w:rsid w:val="00FF18C6"/>
    <w:rsid w:val="00FF2B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4E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2C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2CE7"/>
  </w:style>
  <w:style w:type="paragraph" w:styleId="Fuzeile">
    <w:name w:val="footer"/>
    <w:basedOn w:val="Standard"/>
    <w:link w:val="FuzeileZchn"/>
    <w:uiPriority w:val="99"/>
    <w:semiHidden/>
    <w:unhideWhenUsed/>
    <w:rsid w:val="009F2CE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F2CE7"/>
  </w:style>
  <w:style w:type="paragraph" w:styleId="Funotentext">
    <w:name w:val="footnote text"/>
    <w:basedOn w:val="Standard"/>
    <w:link w:val="FunotentextZchn"/>
    <w:uiPriority w:val="99"/>
    <w:semiHidden/>
    <w:unhideWhenUsed/>
    <w:rsid w:val="001B6613"/>
    <w:pPr>
      <w:spacing w:after="0" w:line="240" w:lineRule="auto"/>
    </w:pPr>
  </w:style>
  <w:style w:type="character" w:customStyle="1" w:styleId="FunotentextZchn">
    <w:name w:val="Fußnotentext Zchn"/>
    <w:basedOn w:val="Absatz-Standardschriftart"/>
    <w:link w:val="Funotentext"/>
    <w:uiPriority w:val="99"/>
    <w:semiHidden/>
    <w:rsid w:val="001B6613"/>
  </w:style>
  <w:style w:type="character" w:styleId="Funotenzeichen">
    <w:name w:val="footnote reference"/>
    <w:basedOn w:val="Absatz-Standardschriftart"/>
    <w:uiPriority w:val="99"/>
    <w:semiHidden/>
    <w:unhideWhenUsed/>
    <w:rsid w:val="001B661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87FC-1659-43FF-9B44-B3801420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3918</Words>
  <Characters>24685</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2011-11-20T11:33:00Z</cp:lastPrinted>
  <dcterms:created xsi:type="dcterms:W3CDTF">2011-11-25T09:19:00Z</dcterms:created>
  <dcterms:modified xsi:type="dcterms:W3CDTF">2011-11-25T09:20:00Z</dcterms:modified>
</cp:coreProperties>
</file>