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F1" w:rsidRPr="00DF5B08" w:rsidRDefault="002B47F1" w:rsidP="002B47F1">
      <w:pPr>
        <w:spacing w:after="0"/>
        <w:jc w:val="both"/>
        <w:rPr>
          <w:b/>
        </w:rPr>
      </w:pPr>
      <w:r w:rsidRPr="00DF5B08">
        <w:rPr>
          <w:b/>
        </w:rPr>
        <w:t xml:space="preserve">(41) Kap. 14: </w:t>
      </w:r>
      <w:r w:rsidR="00DB1DFD">
        <w:rPr>
          <w:b/>
        </w:rPr>
        <w:t xml:space="preserve">Konfrontiert mit dem Nationalsozialismus: Was ist </w:t>
      </w:r>
      <w:r w:rsidRPr="00DF5B08">
        <w:rPr>
          <w:b/>
        </w:rPr>
        <w:t>„</w:t>
      </w:r>
      <w:r w:rsidR="00DB1DFD">
        <w:rPr>
          <w:b/>
        </w:rPr>
        <w:t>j</w:t>
      </w:r>
      <w:r w:rsidRPr="00DF5B08">
        <w:rPr>
          <w:b/>
        </w:rPr>
        <w:t>üdische Identität“</w:t>
      </w:r>
      <w:r w:rsidR="00DB1DFD">
        <w:rPr>
          <w:b/>
        </w:rPr>
        <w:t>?</w:t>
      </w:r>
    </w:p>
    <w:p w:rsidR="003A3F8E" w:rsidRDefault="003A3F8E" w:rsidP="00D929DF">
      <w:pPr>
        <w:spacing w:after="0"/>
        <w:jc w:val="both"/>
      </w:pPr>
    </w:p>
    <w:p w:rsidR="00D929DF" w:rsidRDefault="00D929DF" w:rsidP="00D929DF">
      <w:pPr>
        <w:spacing w:after="0"/>
        <w:jc w:val="both"/>
      </w:pPr>
      <w:r>
        <w:t>Die nationalsozialistische Rassenpolitik beendete die legendäre deutsch-jüdische Symbiose. Sie warf zudem – ein Paradoxon! – die Frage auf, ob die</w:t>
      </w:r>
      <w:r w:rsidR="00B67C3F">
        <w:t>se</w:t>
      </w:r>
      <w:r>
        <w:t xml:space="preserve"> Symbiose überhaupt jemals Real</w:t>
      </w:r>
      <w:r>
        <w:t>i</w:t>
      </w:r>
      <w:r>
        <w:t xml:space="preserve">tät gewesen </w:t>
      </w:r>
      <w:r w:rsidR="00AB4A9D">
        <w:t>war</w:t>
      </w:r>
      <w:r>
        <w:t xml:space="preserve">. </w:t>
      </w:r>
      <w:r w:rsidR="00AB4A9D">
        <w:t>A</w:t>
      </w:r>
      <w:r>
        <w:t xml:space="preserve">ngesichts der Entwicklung, die sich nach 1933 vollzog, </w:t>
      </w:r>
      <w:r w:rsidR="00AB4A9D">
        <w:t xml:space="preserve">war es </w:t>
      </w:r>
      <w:r>
        <w:t>angeme</w:t>
      </w:r>
      <w:r>
        <w:t>s</w:t>
      </w:r>
      <w:r>
        <w:t>sen, diese Frage zu stellen</w:t>
      </w:r>
      <w:r w:rsidR="00AB4A9D">
        <w:t>;</w:t>
      </w:r>
      <w:r>
        <w:t xml:space="preserve"> die Zweifel, ob die jüdische Bevölkerungsgruppe </w:t>
      </w:r>
      <w:r w:rsidR="00B67C3F">
        <w:t xml:space="preserve">zu irgendeiner Zeit </w:t>
      </w:r>
      <w:r>
        <w:t xml:space="preserve">überhaupt auf wirkliche Akzeptanz gestoßen </w:t>
      </w:r>
      <w:r w:rsidR="00AB4A9D">
        <w:t>war</w:t>
      </w:r>
      <w:r>
        <w:t>, waren berechtigt. In der aktuellen Sit</w:t>
      </w:r>
      <w:r>
        <w:t>u</w:t>
      </w:r>
      <w:r>
        <w:t>ation, also in der Zeitspanne vor den Novemberpogromen, die eine erneute Zäsur bilden</w:t>
      </w:r>
      <w:r w:rsidR="00AB4A9D">
        <w:t>, füh</w:t>
      </w:r>
      <w:r w:rsidR="00AB4A9D">
        <w:t>r</w:t>
      </w:r>
      <w:bookmarkStart w:id="0" w:name="_GoBack"/>
      <w:bookmarkEnd w:id="0"/>
      <w:r w:rsidR="00AB4A9D">
        <w:t>te diese Problemstellung dazu, dass sich unterschwellig eine Diskussion über die „jüdische“ bzw. d</w:t>
      </w:r>
      <w:r w:rsidR="002A652C">
        <w:t>ie</w:t>
      </w:r>
      <w:r w:rsidR="00AB4A9D">
        <w:t xml:space="preserve"> „deutsch-jüdische“ Identität entwickelte. Sowohl für die </w:t>
      </w:r>
      <w:r w:rsidR="005D6E35">
        <w:t xml:space="preserve">frühen </w:t>
      </w:r>
      <w:r w:rsidR="002A652C">
        <w:t xml:space="preserve">jüdischen </w:t>
      </w:r>
      <w:r w:rsidR="00AB4A9D">
        <w:t xml:space="preserve">Exilanten als auch für die </w:t>
      </w:r>
      <w:r w:rsidR="002A652C">
        <w:t xml:space="preserve">zunächst </w:t>
      </w:r>
      <w:r w:rsidR="00AB4A9D">
        <w:t>weiterhin in Deutschland lebenden jüdischen Bürger war die</w:t>
      </w:r>
      <w:r w:rsidR="008C33D9">
        <w:t>se</w:t>
      </w:r>
      <w:r w:rsidR="00AB4A9D">
        <w:t xml:space="preserve"> Frage von Bedeutung</w:t>
      </w:r>
      <w:r w:rsidR="008C33D9">
        <w:t>, allerdings mit unterschiedlichem Gewicht</w:t>
      </w:r>
      <w:r w:rsidR="00AB4A9D">
        <w:t xml:space="preserve">: </w:t>
      </w:r>
      <w:r w:rsidR="00135E76">
        <w:t>f</w:t>
      </w:r>
      <w:r w:rsidR="00AB4A9D">
        <w:t xml:space="preserve">ür die </w:t>
      </w:r>
      <w:r w:rsidR="002A652C">
        <w:t>Exilant</w:t>
      </w:r>
      <w:r w:rsidR="00AB4A9D">
        <w:t xml:space="preserve">en, weil </w:t>
      </w:r>
      <w:r w:rsidR="002A652C">
        <w:t xml:space="preserve">viele von ihnen </w:t>
      </w:r>
      <w:r w:rsidR="00AB4A9D">
        <w:t xml:space="preserve">sich durchaus der Tatsache bewusst waren, dass sie nicht nur </w:t>
      </w:r>
      <w:r w:rsidR="002A652C">
        <w:t>aufgrund von</w:t>
      </w:r>
      <w:r w:rsidR="00AB4A9D">
        <w:t xml:space="preserve"> politisch, sondern auch aufgrund von rassenideologisch</w:t>
      </w:r>
      <w:r w:rsidR="002A652C">
        <w:t xml:space="preserve"> motivie</w:t>
      </w:r>
      <w:r w:rsidR="005D6E35">
        <w:t>r</w:t>
      </w:r>
      <w:r w:rsidR="002A652C">
        <w:t>t</w:t>
      </w:r>
      <w:r w:rsidR="00AB4A9D">
        <w:t>er Verfolgung geflohen waren – für die</w:t>
      </w:r>
      <w:r w:rsidR="002A652C">
        <w:t xml:space="preserve"> diejenigen, die einstweilen noch in Deutschland geblieben ware</w:t>
      </w:r>
      <w:r w:rsidR="00AB4A9D">
        <w:t>n</w:t>
      </w:r>
      <w:r w:rsidR="00B67C3F">
        <w:t>,</w:t>
      </w:r>
      <w:r w:rsidR="00AB4A9D">
        <w:t xml:space="preserve"> weil sie sich Klarheit darüber verschaffen mussten, auf welcher Basis und mit welchem Status sie </w:t>
      </w:r>
      <w:r w:rsidR="005D6E35">
        <w:t>fortan hier</w:t>
      </w:r>
      <w:r w:rsidR="00AB4A9D">
        <w:t xml:space="preserve"> leben</w:t>
      </w:r>
      <w:r w:rsidR="00135E76">
        <w:t xml:space="preserve"> und</w:t>
      </w:r>
      <w:r w:rsidR="00AB4A9D">
        <w:t xml:space="preserve"> auf den sich weiter verstärkenden Druck zu Segregation reagieren sollten: durch Wide</w:t>
      </w:r>
      <w:r w:rsidR="00AB4A9D">
        <w:t>r</w:t>
      </w:r>
      <w:r w:rsidR="00AB4A9D">
        <w:t>stand, Protest</w:t>
      </w:r>
      <w:r w:rsidR="005D6E35">
        <w:t xml:space="preserve"> </w:t>
      </w:r>
      <w:r w:rsidR="008C33D9">
        <w:t>– o</w:t>
      </w:r>
      <w:r w:rsidR="005D6E35">
        <w:t>der</w:t>
      </w:r>
      <w:r w:rsidR="00C33475">
        <w:t xml:space="preserve"> mehr oder weniger schweigende Hinnahme </w:t>
      </w:r>
      <w:r w:rsidR="00135E76">
        <w:t xml:space="preserve">der Diskriminierung </w:t>
      </w:r>
      <w:r w:rsidR="005D6E35">
        <w:t>bzw.</w:t>
      </w:r>
      <w:r w:rsidR="00C33475">
        <w:t xml:space="preserve"> durch gezielte Vorbereitung auf </w:t>
      </w:r>
      <w:r w:rsidR="005D6E35">
        <w:t>di</w:t>
      </w:r>
      <w:r w:rsidR="00C33475">
        <w:t xml:space="preserve">e Auswanderung. Im letzteren Fall stellte sich </w:t>
      </w:r>
      <w:r w:rsidR="00135E76">
        <w:t xml:space="preserve">dann </w:t>
      </w:r>
      <w:r w:rsidR="00C33475">
        <w:t>die Frage</w:t>
      </w:r>
      <w:r w:rsidR="00F357FE">
        <w:t>, ob m</w:t>
      </w:r>
      <w:r w:rsidR="00C33475">
        <w:t>an – sofern es überhaupt möglich war – nach Palästina, in die „jüdische Heimat“</w:t>
      </w:r>
      <w:r w:rsidR="005D6E35">
        <w:t>,</w:t>
      </w:r>
      <w:r w:rsidR="00C33475">
        <w:t xml:space="preserve"> auswandern </w:t>
      </w:r>
      <w:r w:rsidR="00F357FE">
        <w:t xml:space="preserve">sollte </w:t>
      </w:r>
      <w:r w:rsidR="00C33475">
        <w:t xml:space="preserve">oder in ein anderes, europäisches oder außereuropäisches </w:t>
      </w:r>
      <w:r w:rsidR="00F357FE">
        <w:t>Aufnahmel</w:t>
      </w:r>
      <w:r w:rsidR="00C33475">
        <w:t xml:space="preserve">and? </w:t>
      </w:r>
      <w:r w:rsidR="00F357FE">
        <w:t>– A</w:t>
      </w:r>
      <w:r w:rsidR="00C33475">
        <w:t xml:space="preserve">ll dies waren </w:t>
      </w:r>
      <w:r w:rsidR="00135E76">
        <w:t>Sachverhalte</w:t>
      </w:r>
      <w:r w:rsidR="00C33475">
        <w:t>, die eng mit dem Problem des Selbstverständnisses, der Identität, verbunden waren.</w:t>
      </w:r>
    </w:p>
    <w:p w:rsidR="00D929DF" w:rsidRDefault="00D929DF" w:rsidP="00D929DF">
      <w:pPr>
        <w:spacing w:after="0"/>
        <w:jc w:val="both"/>
      </w:pPr>
    </w:p>
    <w:p w:rsidR="00DF5B08" w:rsidRDefault="000C2BF9" w:rsidP="00AB4A9D">
      <w:pPr>
        <w:spacing w:after="0"/>
        <w:ind w:firstLine="708"/>
        <w:jc w:val="both"/>
      </w:pPr>
      <w:r>
        <w:t xml:space="preserve">Für </w:t>
      </w:r>
      <w:r w:rsidR="008C33D9">
        <w:t>einen erheblichen Teil</w:t>
      </w:r>
      <w:r w:rsidR="00F357FE">
        <w:t xml:space="preserve"> </w:t>
      </w:r>
      <w:r w:rsidR="00B67C3F">
        <w:t xml:space="preserve">der aus jüdischen Familien stammenden Mitglieder </w:t>
      </w:r>
      <w:r>
        <w:t>des p</w:t>
      </w:r>
      <w:r>
        <w:t>o</w:t>
      </w:r>
      <w:r>
        <w:t>litischen Exils</w:t>
      </w:r>
      <w:r w:rsidR="00B67C3F">
        <w:t xml:space="preserve"> </w:t>
      </w:r>
      <w:r w:rsidR="0020272D">
        <w:t>war die Frage des religiösen Bekenntnisses bzw. der jüdischen Abstammung ein</w:t>
      </w:r>
      <w:r w:rsidR="00F357FE">
        <w:t xml:space="preserve"> Tatbestand</w:t>
      </w:r>
      <w:r w:rsidR="0020272D">
        <w:t>, de</w:t>
      </w:r>
      <w:r w:rsidR="00F357FE">
        <w:t>m sie</w:t>
      </w:r>
      <w:r w:rsidR="0020272D">
        <w:t xml:space="preserve"> </w:t>
      </w:r>
      <w:r w:rsidR="00DB1DFD">
        <w:t>im Gegensatz zur</w:t>
      </w:r>
      <w:r w:rsidR="0020272D">
        <w:t xml:space="preserve"> weltanschauliche</w:t>
      </w:r>
      <w:r w:rsidR="00DB1DFD">
        <w:t>n</w:t>
      </w:r>
      <w:r w:rsidR="0020272D">
        <w:t>, politische</w:t>
      </w:r>
      <w:r w:rsidR="005D6E35">
        <w:t>n</w:t>
      </w:r>
      <w:r w:rsidR="0020272D">
        <w:t xml:space="preserve"> Orientierung </w:t>
      </w:r>
      <w:r w:rsidR="00DB1DFD">
        <w:t>kaum</w:t>
      </w:r>
      <w:r w:rsidR="0020272D">
        <w:t xml:space="preserve"> Relevanz </w:t>
      </w:r>
      <w:r w:rsidR="00DB1DFD">
        <w:t>zu</w:t>
      </w:r>
      <w:r w:rsidR="00F357FE">
        <w:t>maßen</w:t>
      </w:r>
      <w:r w:rsidR="0020272D">
        <w:t xml:space="preserve">. </w:t>
      </w:r>
      <w:r w:rsidR="00DF5B08" w:rsidRPr="00DF5B08">
        <w:t>Barbara Honigmann</w:t>
      </w:r>
      <w:r w:rsidR="00DF5B08">
        <w:t xml:space="preserve">, </w:t>
      </w:r>
      <w:r w:rsidR="00D243AA">
        <w:t>To</w:t>
      </w:r>
      <w:r w:rsidR="00DB1DFD">
        <w:t>chter</w:t>
      </w:r>
      <w:r w:rsidR="00DF5B08">
        <w:t xml:space="preserve"> jüdische</w:t>
      </w:r>
      <w:r w:rsidR="00660D1F">
        <w:t>r</w:t>
      </w:r>
      <w:r w:rsidR="00DF5B08">
        <w:t xml:space="preserve"> </w:t>
      </w:r>
      <w:r w:rsidR="00660D1F">
        <w:t>Eltern</w:t>
      </w:r>
      <w:r w:rsidR="00DB1DFD">
        <w:t xml:space="preserve">, </w:t>
      </w:r>
      <w:r w:rsidR="00DF5B08">
        <w:t>die ins Exil ging</w:t>
      </w:r>
      <w:r w:rsidR="00660D1F">
        <w:t>en</w:t>
      </w:r>
      <w:r w:rsidR="00DF5B08">
        <w:t xml:space="preserve"> und dort Widerstandsarbeit leistete</w:t>
      </w:r>
      <w:r w:rsidR="00660D1F">
        <w:t>n</w:t>
      </w:r>
      <w:r w:rsidR="00DF5B08">
        <w:t xml:space="preserve">, </w:t>
      </w:r>
      <w:r w:rsidR="00823574">
        <w:t>zitier</w:t>
      </w:r>
      <w:r w:rsidR="00DF5B08">
        <w:t xml:space="preserve">t </w:t>
      </w:r>
      <w:r w:rsidR="008C33D9">
        <w:t>z.B.</w:t>
      </w:r>
      <w:r w:rsidR="00DF5B08">
        <w:t xml:space="preserve"> </w:t>
      </w:r>
      <w:r>
        <w:t xml:space="preserve">in folgender </w:t>
      </w:r>
      <w:r w:rsidR="008C33D9">
        <w:t>Weise</w:t>
      </w:r>
      <w:r>
        <w:t xml:space="preserve"> </w:t>
      </w:r>
      <w:r w:rsidR="00DF5B08">
        <w:t>das Credo ihres Vaters Georg Honigmann</w:t>
      </w:r>
      <w:r w:rsidR="00D243AA">
        <w:t>, der nach Ende des Weltkriegs in die DDR zurückkehrte</w:t>
      </w:r>
      <w:r w:rsidR="00DF5B08">
        <w:t xml:space="preserve">: </w:t>
      </w:r>
    </w:p>
    <w:p w:rsidR="00DF5B08" w:rsidRDefault="00DF5B08" w:rsidP="00DF5B08">
      <w:pPr>
        <w:spacing w:after="0"/>
        <w:ind w:left="1134"/>
        <w:jc w:val="both"/>
      </w:pPr>
      <w:r>
        <w:t xml:space="preserve">„Ich bin ein Urenkel der Aufklärung, und ich habe an Vernunft und an die Idee der Gleichheit und Brüderlichkeit geglaubt. Nicht die Juden von </w:t>
      </w:r>
      <w:proofErr w:type="spellStart"/>
      <w:r>
        <w:t>Schtetl</w:t>
      </w:r>
      <w:proofErr w:type="spellEnd"/>
      <w:r>
        <w:t xml:space="preserve"> waren ‚unsere </w:t>
      </w:r>
      <w:proofErr w:type="spellStart"/>
      <w:r>
        <w:t>Leut</w:t>
      </w:r>
      <w:proofErr w:type="spellEnd"/>
      <w:r>
        <w:t>‘, sondern die Männer der kommunistischen Idee waren es. Auße</w:t>
      </w:r>
      <w:r>
        <w:t>r</w:t>
      </w:r>
      <w:r>
        <w:t>dem bin ich ein deutscher Jude, ein jüdischer Deutscher, die wollten mich aus Deutschland weg haben, aber ich bin wiedergekommen, das gibt mir Genugtuung. Ich gehöre hierher, auch wenn es mir hier kühl und leer ums Herz ist.“</w:t>
      </w:r>
      <w:r>
        <w:rPr>
          <w:rStyle w:val="Funotenzeichen"/>
        </w:rPr>
        <w:footnoteReference w:id="1"/>
      </w:r>
    </w:p>
    <w:p w:rsidR="008427D7" w:rsidRDefault="008427D7" w:rsidP="00735591">
      <w:pPr>
        <w:spacing w:after="0"/>
        <w:jc w:val="both"/>
      </w:pPr>
      <w:r>
        <w:t xml:space="preserve">Die </w:t>
      </w:r>
      <w:r w:rsidR="00DB1DFD">
        <w:t>Aussage ist unmissverständlich</w:t>
      </w:r>
      <w:r w:rsidR="008C33D9">
        <w:t xml:space="preserve"> und in ihrem Tenor keineswegs untypisch, und zwar nicht nur für Kommunisten</w:t>
      </w:r>
      <w:r w:rsidR="00DB1DFD">
        <w:t>.</w:t>
      </w:r>
      <w:r>
        <w:t xml:space="preserve"> Honigmann war sozialistisch-kosmopolitisch geprägt. Eine besondere Verbindung zum „jüdischen Volk“ war für ihn nicht existent.</w:t>
      </w:r>
      <w:r w:rsidR="00252A41">
        <w:t xml:space="preserve"> Die </w:t>
      </w:r>
      <w:r w:rsidR="001C2B20">
        <w:t xml:space="preserve">Gemeinschaft, der er sich zugehörig fühlte, war die KPD. Die </w:t>
      </w:r>
      <w:r w:rsidR="00252A41" w:rsidRPr="001C2B20">
        <w:t xml:space="preserve">Gemeinsamkeit </w:t>
      </w:r>
      <w:r w:rsidR="00735591" w:rsidRPr="001C2B20">
        <w:t>der politischen Überzeugung</w:t>
      </w:r>
      <w:r w:rsidR="001C2B20">
        <w:t>, die er hier vorfand,</w:t>
      </w:r>
      <w:r w:rsidR="00735591" w:rsidRPr="001C2B20">
        <w:t xml:space="preserve"> </w:t>
      </w:r>
      <w:r w:rsidR="00252A41">
        <w:t>war das verbindende Element</w:t>
      </w:r>
      <w:r w:rsidR="00735591">
        <w:t xml:space="preserve"> sowohl vor als auch nach dem Exil</w:t>
      </w:r>
      <w:r w:rsidR="001C2B20">
        <w:t xml:space="preserve"> – n</w:t>
      </w:r>
      <w:r w:rsidR="00735591">
        <w:t xml:space="preserve">icht </w:t>
      </w:r>
      <w:r w:rsidR="00252A41">
        <w:t>die A</w:t>
      </w:r>
      <w:r w:rsidR="00252A41">
        <w:t>b</w:t>
      </w:r>
      <w:r w:rsidR="00252A41">
        <w:t>stammung.</w:t>
      </w:r>
    </w:p>
    <w:p w:rsidR="00546963" w:rsidRDefault="008A2118" w:rsidP="008A2118">
      <w:pPr>
        <w:spacing w:after="0"/>
        <w:jc w:val="both"/>
      </w:pPr>
      <w:r>
        <w:lastRenderedPageBreak/>
        <w:tab/>
      </w:r>
      <w:r w:rsidR="005A6755">
        <w:t>Bezogen auf einen differenten</w:t>
      </w:r>
      <w:r w:rsidR="00524EFA">
        <w:t xml:space="preserve">, aber in der Struktur </w:t>
      </w:r>
      <w:r w:rsidR="001C32FC">
        <w:t>ähnlich</w:t>
      </w:r>
      <w:r w:rsidR="00524EFA">
        <w:t>en</w:t>
      </w:r>
      <w:r w:rsidR="005A6755">
        <w:t xml:space="preserve"> Kontext: die Integration eines „</w:t>
      </w:r>
      <w:r w:rsidR="001C32FC">
        <w:t>Jud</w:t>
      </w:r>
      <w:r w:rsidR="00524EFA">
        <w:t>en</w:t>
      </w:r>
      <w:r w:rsidR="005A6755">
        <w:t xml:space="preserve">“ in </w:t>
      </w:r>
      <w:r w:rsidR="008C33D9">
        <w:t>die</w:t>
      </w:r>
      <w:r w:rsidR="005A6755">
        <w:t xml:space="preserve"> bereits bestehende und entsprechend organisierte Lagergesellschaft eines KZs, beschreibt d</w:t>
      </w:r>
      <w:r w:rsidR="00252A41">
        <w:t xml:space="preserve">er österreichische Sozialist und Soziologe </w:t>
      </w:r>
      <w:r w:rsidR="00252A41" w:rsidRPr="00252A41">
        <w:t>Paul Martin Neurath</w:t>
      </w:r>
      <w:r w:rsidR="00252A41">
        <w:t xml:space="preserve"> </w:t>
      </w:r>
      <w:r w:rsidR="005A6755">
        <w:t>d</w:t>
      </w:r>
      <w:r w:rsidR="00590BAD">
        <w:t>asselb</w:t>
      </w:r>
      <w:r w:rsidR="005A6755">
        <w:t xml:space="preserve">e </w:t>
      </w:r>
      <w:r w:rsidR="00590BAD">
        <w:t>Faktum</w:t>
      </w:r>
      <w:r w:rsidR="005A6755">
        <w:t xml:space="preserve">. </w:t>
      </w:r>
      <w:r w:rsidR="00524EFA">
        <w:t>V</w:t>
      </w:r>
      <w:r w:rsidR="00AA0645">
        <w:t xml:space="preserve">on den Nationalsozialisten </w:t>
      </w:r>
      <w:r w:rsidR="00075AAA">
        <w:t xml:space="preserve">aufgrund </w:t>
      </w:r>
      <w:r w:rsidR="00524EFA">
        <w:t>seiner politischen Opposition gegen die Ann</w:t>
      </w:r>
      <w:r w:rsidR="00524EFA">
        <w:t>e</w:t>
      </w:r>
      <w:r w:rsidR="00524EFA">
        <w:t xml:space="preserve">xion Österreichs in das KZ Dachau eingeliefert, wegen </w:t>
      </w:r>
      <w:r w:rsidR="00075AAA">
        <w:t xml:space="preserve">seiner Abstammung </w:t>
      </w:r>
      <w:r w:rsidR="000118AC">
        <w:t>trotzdem</w:t>
      </w:r>
      <w:r w:rsidR="004E0936">
        <w:t xml:space="preserve"> </w:t>
      </w:r>
      <w:r w:rsidR="00AA0645">
        <w:t>mit dem Judenstern</w:t>
      </w:r>
      <w:r w:rsidR="00AA0645" w:rsidRPr="009A44D4">
        <w:t xml:space="preserve"> </w:t>
      </w:r>
      <w:r w:rsidR="00AA0645">
        <w:t xml:space="preserve">gekennzeichnet, </w:t>
      </w:r>
      <w:r w:rsidR="00524EFA">
        <w:t xml:space="preserve">stößt er bei den deutschen politischen Häftlingen, </w:t>
      </w:r>
      <w:r w:rsidR="004E0936">
        <w:t>der die Lage</w:t>
      </w:r>
      <w:r w:rsidR="004E0936">
        <w:t>r</w:t>
      </w:r>
      <w:r w:rsidR="004E0936">
        <w:t>gesellschaft dominierenden Häftlingsgruppe,</w:t>
      </w:r>
      <w:r w:rsidR="00524EFA">
        <w:t xml:space="preserve"> gleichwohl auf Akzeptanz:</w:t>
      </w:r>
      <w:r w:rsidR="00252A41">
        <w:t xml:space="preserve"> </w:t>
      </w:r>
    </w:p>
    <w:p w:rsidR="00546963" w:rsidRDefault="00546963" w:rsidP="00546963">
      <w:pPr>
        <w:spacing w:after="0"/>
        <w:ind w:firstLine="1134"/>
        <w:jc w:val="both"/>
      </w:pPr>
      <w:r>
        <w:t xml:space="preserve">„Als ich mit dem ersten Transport handverlesener politischer Fälle nach Dachau </w:t>
      </w:r>
    </w:p>
    <w:p w:rsidR="00546963" w:rsidRDefault="00546963" w:rsidP="00546963">
      <w:pPr>
        <w:spacing w:after="0"/>
        <w:ind w:left="1134"/>
        <w:jc w:val="both"/>
      </w:pPr>
      <w:r>
        <w:t>kam, war ich einer der Ersten, die von den deutschen Politischen akzeptiert wu</w:t>
      </w:r>
      <w:r>
        <w:t>r</w:t>
      </w:r>
      <w:r>
        <w:t>den.“</w:t>
      </w:r>
      <w:r w:rsidR="000118AC" w:rsidRPr="000118AC">
        <w:rPr>
          <w:rStyle w:val="Funotenzeichen"/>
        </w:rPr>
        <w:t xml:space="preserve"> </w:t>
      </w:r>
      <w:r w:rsidR="000118AC">
        <w:rPr>
          <w:rStyle w:val="Funotenzeichen"/>
        </w:rPr>
        <w:footnoteReference w:id="2"/>
      </w:r>
    </w:p>
    <w:p w:rsidR="008A2118" w:rsidRDefault="00524EFA" w:rsidP="008A2118">
      <w:pPr>
        <w:spacing w:after="0"/>
        <w:jc w:val="both"/>
      </w:pPr>
      <w:r>
        <w:t>Speziell in den Konzentrationslagern Dachau und Buchenwald bestand zwischen den „polit</w:t>
      </w:r>
      <w:r>
        <w:t>i</w:t>
      </w:r>
      <w:r>
        <w:t xml:space="preserve">schen“ und den „jüdischen“ Häftlingen </w:t>
      </w:r>
      <w:r w:rsidR="00CC2253">
        <w:t xml:space="preserve">üblicherweise </w:t>
      </w:r>
      <w:r>
        <w:t>eine klare Trennlinie. Die politischen Häftlinge waren die dominante Gruppe, die jüdischen Häftlinge die Parias.</w:t>
      </w:r>
      <w:r>
        <w:rPr>
          <w:rStyle w:val="Funotenzeichen"/>
        </w:rPr>
        <w:footnoteReference w:id="3"/>
      </w:r>
      <w:r>
        <w:t xml:space="preserve"> </w:t>
      </w:r>
      <w:r w:rsidR="00E81DDC">
        <w:t>Da</w:t>
      </w:r>
      <w:r>
        <w:t>s Beispiel zeigt, dass die</w:t>
      </w:r>
      <w:r w:rsidR="004E0936">
        <w:t xml:space="preserve">ser Abstand im </w:t>
      </w:r>
      <w:r w:rsidR="00E81DDC">
        <w:t>Falle Neuraths</w:t>
      </w:r>
      <w:r>
        <w:t xml:space="preserve"> durch die politische </w:t>
      </w:r>
      <w:r w:rsidR="004E0936">
        <w:t>Gegnerschaft gegenüber dem NS-Regime</w:t>
      </w:r>
      <w:r>
        <w:t xml:space="preserve"> </w:t>
      </w:r>
      <w:r w:rsidR="00590BAD">
        <w:t>neutralisier</w:t>
      </w:r>
      <w:r>
        <w:t>t wurde.</w:t>
      </w:r>
      <w:r>
        <w:rPr>
          <w:rStyle w:val="Funotenzeichen"/>
        </w:rPr>
        <w:footnoteReference w:id="4"/>
      </w:r>
      <w:r>
        <w:t xml:space="preserve"> Die Abstammung, das zentrale Merkmal des nationa</w:t>
      </w:r>
      <w:r>
        <w:t>l</w:t>
      </w:r>
      <w:r>
        <w:t>sozialistischen Rassismus, wurde</w:t>
      </w:r>
      <w:r w:rsidR="00E81DDC">
        <w:t xml:space="preserve"> von den </w:t>
      </w:r>
      <w:r w:rsidR="001C32FC">
        <w:t xml:space="preserve">nichtjüdischen </w:t>
      </w:r>
      <w:r w:rsidR="00E81DDC">
        <w:t>politischen</w:t>
      </w:r>
      <w:r w:rsidR="001C32FC">
        <w:t xml:space="preserve"> </w:t>
      </w:r>
      <w:r w:rsidR="00E81DDC">
        <w:t xml:space="preserve">Häftlingen </w:t>
      </w:r>
      <w:r>
        <w:t>als ein nicht oder kaum noch relevantes Faktum angesehen</w:t>
      </w:r>
      <w:r w:rsidR="00E81DDC">
        <w:t>; der „</w:t>
      </w:r>
      <w:r w:rsidR="001C32FC">
        <w:t>politisch</w:t>
      </w:r>
      <w:r w:rsidR="00E81DDC">
        <w:t>e“ jüdische Häftling wurde a</w:t>
      </w:r>
      <w:r w:rsidR="00E81DDC">
        <w:t>k</w:t>
      </w:r>
      <w:r w:rsidR="00E81DDC">
        <w:t>zeptiert</w:t>
      </w:r>
      <w:r>
        <w:t>.</w:t>
      </w:r>
      <w:r w:rsidR="004E0936">
        <w:t xml:space="preserve"> </w:t>
      </w:r>
      <w:r w:rsidR="00590BAD">
        <w:t>– Dies entsprach im Übrigen Neuraths Selbstverständnis. Er kommentiert diese N</w:t>
      </w:r>
      <w:r w:rsidR="00590BAD">
        <w:t>e</w:t>
      </w:r>
      <w:r w:rsidR="00590BAD">
        <w:t xml:space="preserve">gierung des Judensterns mit einem Hinweis auf sein </w:t>
      </w:r>
      <w:r w:rsidR="001C32FC">
        <w:t xml:space="preserve">eigenes </w:t>
      </w:r>
      <w:r w:rsidR="00590BAD">
        <w:t>Selbstverständnis</w:t>
      </w:r>
      <w:r w:rsidR="00735591">
        <w:t xml:space="preserve">: </w:t>
      </w:r>
    </w:p>
    <w:p w:rsidR="008A2118" w:rsidRDefault="00075AAA" w:rsidP="00252A41">
      <w:pPr>
        <w:spacing w:after="0"/>
        <w:ind w:left="1134"/>
        <w:jc w:val="both"/>
      </w:pPr>
      <w:r>
        <w:t>„</w:t>
      </w:r>
      <w:r w:rsidR="008A2118">
        <w:t>Ich bin kein Jude, sondern Protestant, habe zehn Jahre in einem protestantischen Kinderheim verbracht und hatte niemals irgendwelche Kontakte zu einer jüd</w:t>
      </w:r>
      <w:r w:rsidR="008A2118">
        <w:t>i</w:t>
      </w:r>
      <w:r w:rsidR="008A2118">
        <w:t>schen Gemeinschaft. Einige meiner Großeltern jedoch waren nicht ganz so prote</w:t>
      </w:r>
      <w:r w:rsidR="008A2118">
        <w:t>s</w:t>
      </w:r>
      <w:r w:rsidR="008A2118">
        <w:t>tantisch, und ich bekam den Judenstern. Das versetzte mich nebenbei in eine Pos</w:t>
      </w:r>
      <w:r w:rsidR="008A2118">
        <w:t>i</w:t>
      </w:r>
      <w:r w:rsidR="008A2118">
        <w:t>tion, in der ich beobachten konnte, wie man sich fühlt, wenn man als Jude verfolgt wird, ohne mit dieser Gruppe irgendetwas gemeinsam zu haben außer einem ge</w:t>
      </w:r>
      <w:r w:rsidR="008A2118">
        <w:t>l</w:t>
      </w:r>
      <w:r w:rsidR="008A2118">
        <w:t>ben Abzeichen. Bis zur Zeit Schuschniggs und später Hitlers hatte das Rasse</w:t>
      </w:r>
      <w:r w:rsidR="008A2118">
        <w:t>n</w:t>
      </w:r>
      <w:r w:rsidR="008A2118">
        <w:t>problem in meinem Leben nie eine Rolle gespielt. Ich lebte in einem Milieu g</w:t>
      </w:r>
      <w:r w:rsidR="008A2118">
        <w:t>e</w:t>
      </w:r>
      <w:r w:rsidR="008A2118">
        <w:t>mischter Ehen zwischen Juden und Nichtjuden; ein Großteil meiner Verwandten waren Wissenschaftler, Professoren an der Wiener Universität, Künstler und so weiter.“</w:t>
      </w:r>
      <w:r w:rsidR="00CC2253">
        <w:rPr>
          <w:rStyle w:val="Funotenzeichen"/>
        </w:rPr>
        <w:footnoteReference w:id="5"/>
      </w:r>
      <w:r w:rsidR="008A2118">
        <w:t xml:space="preserve"> </w:t>
      </w:r>
    </w:p>
    <w:p w:rsidR="004E0936" w:rsidRDefault="004E0936" w:rsidP="004E0936">
      <w:pPr>
        <w:spacing w:after="0"/>
        <w:jc w:val="both"/>
      </w:pPr>
      <w:r>
        <w:t>Neurath</w:t>
      </w:r>
      <w:r w:rsidR="00E81DDC">
        <w:t>s Darlegung macht deutlich, dass</w:t>
      </w:r>
      <w:r>
        <w:t xml:space="preserve"> die Abstammung </w:t>
      </w:r>
      <w:r w:rsidR="00E81DDC">
        <w:t xml:space="preserve">für ihn bislang </w:t>
      </w:r>
      <w:r>
        <w:t xml:space="preserve">nicht von Relevanz </w:t>
      </w:r>
      <w:r w:rsidR="00E81DDC">
        <w:t xml:space="preserve">gewesen </w:t>
      </w:r>
      <w:r>
        <w:t>war.</w:t>
      </w:r>
      <w:r w:rsidR="00E81DDC">
        <w:t xml:space="preserve"> In den Milieus, in denen er verkehrte, spielte sie keine Rolle.</w:t>
      </w:r>
    </w:p>
    <w:p w:rsidR="00DF5B08" w:rsidRDefault="003E4F5B" w:rsidP="00CC2253">
      <w:pPr>
        <w:spacing w:after="0"/>
        <w:jc w:val="both"/>
      </w:pPr>
      <w:r>
        <w:tab/>
      </w:r>
      <w:r w:rsidR="00397A74">
        <w:t>Ähnlich</w:t>
      </w:r>
      <w:r w:rsidR="00A007C9">
        <w:t xml:space="preserve"> stellt s</w:t>
      </w:r>
      <w:r w:rsidR="00397A74">
        <w:t xml:space="preserve">ich </w:t>
      </w:r>
      <w:r w:rsidR="001C32FC">
        <w:t xml:space="preserve">das Problem bei einer Reihe jüdischer Wissenschaftler und Künstler nach Ende der nationalsozialistischen Herrschaft </w:t>
      </w:r>
      <w:r w:rsidR="00397A74">
        <w:t xml:space="preserve">dar. </w:t>
      </w:r>
      <w:r w:rsidR="00B77418">
        <w:t xml:space="preserve">Sie </w:t>
      </w:r>
      <w:r>
        <w:t>s</w:t>
      </w:r>
      <w:r w:rsidR="00B77418">
        <w:t>e</w:t>
      </w:r>
      <w:r>
        <w:t>h</w:t>
      </w:r>
      <w:r w:rsidR="00313143">
        <w:t xml:space="preserve">en </w:t>
      </w:r>
      <w:r>
        <w:t xml:space="preserve">sich </w:t>
      </w:r>
      <w:r w:rsidR="00EB5030">
        <w:t xml:space="preserve">zwar </w:t>
      </w:r>
      <w:r w:rsidR="006B0A63">
        <w:t>außerstande</w:t>
      </w:r>
      <w:r w:rsidR="00313143">
        <w:t>,</w:t>
      </w:r>
      <w:r w:rsidR="00397A74">
        <w:t xml:space="preserve"> nach Deutschland zurückzukehren</w:t>
      </w:r>
      <w:r w:rsidR="00B77418">
        <w:t>,</w:t>
      </w:r>
      <w:r w:rsidR="00C9448C">
        <w:t xml:space="preserve"> s</w:t>
      </w:r>
      <w:r w:rsidR="00B77418">
        <w:t>ind</w:t>
      </w:r>
      <w:r w:rsidR="00C9448C">
        <w:t xml:space="preserve"> aber trotzdem</w:t>
      </w:r>
      <w:r w:rsidR="00EB5030">
        <w:t xml:space="preserve"> </w:t>
      </w:r>
      <w:r w:rsidR="00313143">
        <w:t>nicht bereit,</w:t>
      </w:r>
      <w:r>
        <w:t xml:space="preserve"> </w:t>
      </w:r>
      <w:r w:rsidR="00397A74">
        <w:t>mit</w:t>
      </w:r>
      <w:r w:rsidR="00735591">
        <w:t xml:space="preserve"> Deutschland </w:t>
      </w:r>
      <w:r w:rsidR="00B87B46">
        <w:t xml:space="preserve">endgültig zu </w:t>
      </w:r>
      <w:r w:rsidR="00397A74">
        <w:t>brechen</w:t>
      </w:r>
      <w:r>
        <w:t xml:space="preserve">. </w:t>
      </w:r>
      <w:r w:rsidR="00CC2253">
        <w:t>Wie Peter Gay in seinem Essay „Begegnung mit der Moderne. Die deutschen Juden in der Wilhelminischen Kultur“ darlegt, war d</w:t>
      </w:r>
      <w:r w:rsidR="00C9448C">
        <w:t xml:space="preserve">er Grund das Gefühl einer starken </w:t>
      </w:r>
      <w:r w:rsidR="00BF308A">
        <w:t>Prägung</w:t>
      </w:r>
      <w:r w:rsidR="006B0A63">
        <w:t xml:space="preserve"> durch die deutsche Kultur</w:t>
      </w:r>
      <w:r w:rsidR="00C9448C">
        <w:t xml:space="preserve">. Sie empfanden diese Prägung als einen zentralen </w:t>
      </w:r>
      <w:r w:rsidR="00BF308A">
        <w:t xml:space="preserve">Teil ihrer </w:t>
      </w:r>
      <w:r w:rsidR="006B0A63">
        <w:t>Ident</w:t>
      </w:r>
      <w:r w:rsidR="006B0A63">
        <w:t>i</w:t>
      </w:r>
      <w:r w:rsidR="006B0A63">
        <w:t>tät</w:t>
      </w:r>
      <w:r>
        <w:t xml:space="preserve">. </w:t>
      </w:r>
      <w:r w:rsidR="00B77418">
        <w:t xml:space="preserve">Es wäre ihnen als eine Beschädigung dieser Identität erschienen, sich von Deutschland, </w:t>
      </w:r>
      <w:r w:rsidR="00B77418">
        <w:lastRenderedPageBreak/>
        <w:t xml:space="preserve">vor allem von der deutschen Kultur, </w:t>
      </w:r>
      <w:r w:rsidR="009C6B4A">
        <w:t>unwiderruflich</w:t>
      </w:r>
      <w:r w:rsidR="00B77418">
        <w:t xml:space="preserve"> zu distanzieren. </w:t>
      </w:r>
      <w:r w:rsidR="00CC2253">
        <w:t>Als</w:t>
      </w:r>
      <w:r>
        <w:t xml:space="preserve"> </w:t>
      </w:r>
      <w:r w:rsidR="0020272D">
        <w:t xml:space="preserve">Beispiel </w:t>
      </w:r>
      <w:r w:rsidR="00CC2253">
        <w:t xml:space="preserve">führt Gay </w:t>
      </w:r>
      <w:r w:rsidR="00EB5030">
        <w:t>de</w:t>
      </w:r>
      <w:r w:rsidR="00CC2253">
        <w:t>n</w:t>
      </w:r>
      <w:r w:rsidR="00EB5030">
        <w:t xml:space="preserve"> Historiker</w:t>
      </w:r>
      <w:r>
        <w:t xml:space="preserve"> Gustav Mayer </w:t>
      </w:r>
      <w:r w:rsidR="0020272D">
        <w:t>an:</w:t>
      </w:r>
    </w:p>
    <w:p w:rsidR="0020272D" w:rsidRDefault="0020272D" w:rsidP="00735591">
      <w:pPr>
        <w:spacing w:after="0"/>
        <w:ind w:left="1134"/>
        <w:jc w:val="both"/>
      </w:pPr>
      <w:r>
        <w:t xml:space="preserve">„Als Gustav Mayer, der deutsch-jüdische Historiker des Sozialismus, 1947 in London seine Autobiographie schrieb, bekannte er, </w:t>
      </w:r>
      <w:proofErr w:type="spellStart"/>
      <w:r>
        <w:t>daß</w:t>
      </w:r>
      <w:proofErr w:type="spellEnd"/>
      <w:r>
        <w:t xml:space="preserve"> er nie mehr in seine He</w:t>
      </w:r>
      <w:r>
        <w:t>i</w:t>
      </w:r>
      <w:r>
        <w:t>mat zurückkehren könne; er würde sich nicht mehr in einem Land zu Hause fü</w:t>
      </w:r>
      <w:r>
        <w:t>h</w:t>
      </w:r>
      <w:r>
        <w:t>len, das sechs Millionen seiner Glaubensgenossen abgeschlachtet hatte. Doch er fügte hinzu, er brächte es nicht fertig, sich als reiner Jude zu fühlen oder in Palä</w:t>
      </w:r>
      <w:r>
        <w:t>s</w:t>
      </w:r>
      <w:r>
        <w:t>tina seine Heimat zu sehen. Dafür trage er ‚</w:t>
      </w:r>
      <w:proofErr w:type="spellStart"/>
      <w:r>
        <w:t>zuviel</w:t>
      </w:r>
      <w:proofErr w:type="spellEnd"/>
      <w:r>
        <w:t xml:space="preserve"> geistiges Gepäck‘ mit sich. Aus deutschem Boden entwurzelt, voll Dankbarkeit gegen England, blieb doch ‚trot</w:t>
      </w:r>
      <w:r>
        <w:t>z</w:t>
      </w:r>
      <w:r>
        <w:t>dem seiner Gefühlswelt die Heimat unersetzlich. An den Begriffen Heimat, Vate</w:t>
      </w:r>
      <w:r>
        <w:t>r</w:t>
      </w:r>
      <w:r>
        <w:t xml:space="preserve">land hängt </w:t>
      </w:r>
      <w:proofErr w:type="spellStart"/>
      <w:r>
        <w:t>unablösbar</w:t>
      </w:r>
      <w:proofErr w:type="spellEnd"/>
      <w:r>
        <w:t xml:space="preserve"> die Erinnerung an das Elternhaus, die Stätten der Jugend und die Muttersprache</w:t>
      </w:r>
      <w:proofErr w:type="gramStart"/>
      <w:r>
        <w:t>.‘</w:t>
      </w:r>
      <w:proofErr w:type="gramEnd"/>
      <w:r>
        <w:t>“</w:t>
      </w:r>
      <w:r w:rsidR="003E4F5B" w:rsidRPr="003E4F5B">
        <w:rPr>
          <w:rStyle w:val="Funotenzeichen"/>
        </w:rPr>
        <w:t xml:space="preserve"> </w:t>
      </w:r>
      <w:r w:rsidR="003E4F5B">
        <w:rPr>
          <w:rStyle w:val="Funotenzeichen"/>
        </w:rPr>
        <w:footnoteReference w:id="6"/>
      </w:r>
    </w:p>
    <w:p w:rsidR="00BF308A" w:rsidRDefault="003E4F5B" w:rsidP="00BD694F">
      <w:pPr>
        <w:spacing w:after="0"/>
        <w:jc w:val="both"/>
      </w:pPr>
      <w:r>
        <w:t xml:space="preserve">Das bedeutet keineswegs, dass </w:t>
      </w:r>
      <w:r w:rsidR="00FB6A82">
        <w:t>diese</w:t>
      </w:r>
      <w:r w:rsidR="00B87B46">
        <w:t xml:space="preserve"> Intellektuelle</w:t>
      </w:r>
      <w:r w:rsidR="00FB6A82">
        <w:t>n</w:t>
      </w:r>
      <w:r w:rsidR="00B87B46">
        <w:t xml:space="preserve"> </w:t>
      </w:r>
      <w:r>
        <w:t>nicht bereits vor Beginn der nationalsoz</w:t>
      </w:r>
      <w:r>
        <w:t>i</w:t>
      </w:r>
      <w:r>
        <w:t xml:space="preserve">alistischen Herrschaft: </w:t>
      </w:r>
      <w:r w:rsidR="006B0A63">
        <w:t xml:space="preserve">also </w:t>
      </w:r>
      <w:r>
        <w:t xml:space="preserve">im wilhelminischen Reich und in der Weimarer Republik, </w:t>
      </w:r>
      <w:r w:rsidR="00B838F8">
        <w:t xml:space="preserve">mit dem Antisemitismus </w:t>
      </w:r>
      <w:r>
        <w:t>konfrontiert worden wäre</w:t>
      </w:r>
      <w:r w:rsidR="00B87B46">
        <w:t>n</w:t>
      </w:r>
      <w:r>
        <w:t>. Im Gegenteil: Die sozialen und beruflichen Schranken</w:t>
      </w:r>
      <w:r w:rsidR="00C9448C">
        <w:t>,</w:t>
      </w:r>
      <w:r w:rsidR="006B0A63" w:rsidRPr="006B0A63">
        <w:t xml:space="preserve"> </w:t>
      </w:r>
      <w:r w:rsidR="006B0A63">
        <w:t>d</w:t>
      </w:r>
      <w:r w:rsidR="00C9448C">
        <w:t>i</w:t>
      </w:r>
      <w:r w:rsidR="006B0A63">
        <w:t>e</w:t>
      </w:r>
      <w:r w:rsidR="00C9448C">
        <w:t xml:space="preserve"> </w:t>
      </w:r>
      <w:r w:rsidR="00FB6A82">
        <w:t>in Deutschland Ju</w:t>
      </w:r>
      <w:r w:rsidR="00C9448C">
        <w:t>d</w:t>
      </w:r>
      <w:r w:rsidR="006B0A63">
        <w:t xml:space="preserve">en </w:t>
      </w:r>
      <w:r w:rsidR="00C9448C">
        <w:t xml:space="preserve">den Aufstieg in den Universitäten und </w:t>
      </w:r>
      <w:r w:rsidR="00BB03A7">
        <w:t xml:space="preserve">in anderen </w:t>
      </w:r>
      <w:r w:rsidR="00C9448C">
        <w:t>repr</w:t>
      </w:r>
      <w:r w:rsidR="00C9448C">
        <w:t>ä</w:t>
      </w:r>
      <w:r w:rsidR="00C9448C">
        <w:t xml:space="preserve">sentativen </w:t>
      </w:r>
      <w:r w:rsidR="00BB03A7">
        <w:t>Institutio</w:t>
      </w:r>
      <w:r w:rsidR="00C9448C">
        <w:t>nen versperrten</w:t>
      </w:r>
      <w:r w:rsidR="00FB6A82">
        <w:t>,</w:t>
      </w:r>
      <w:r w:rsidR="00C9448C">
        <w:t xml:space="preserve"> </w:t>
      </w:r>
      <w:r>
        <w:t xml:space="preserve">waren </w:t>
      </w:r>
      <w:r w:rsidR="006B0A63">
        <w:t xml:space="preserve">ihnen </w:t>
      </w:r>
      <w:r>
        <w:t xml:space="preserve">bekannt. </w:t>
      </w:r>
      <w:r w:rsidR="00BF308A">
        <w:t xml:space="preserve">Fast jeder </w:t>
      </w:r>
      <w:r w:rsidR="00B838F8">
        <w:t>Wissenschaftler und Künstler</w:t>
      </w:r>
      <w:r w:rsidR="00BB03A7">
        <w:t xml:space="preserve"> </w:t>
      </w:r>
      <w:r w:rsidR="00BF308A">
        <w:t xml:space="preserve">hatte entsprechende Erfahrungen gemacht. </w:t>
      </w:r>
      <w:r w:rsidR="006B0A63">
        <w:t xml:space="preserve">Trotzdem </w:t>
      </w:r>
      <w:r w:rsidR="00BD694F">
        <w:t>maßen</w:t>
      </w:r>
      <w:r w:rsidR="006B0A63">
        <w:t xml:space="preserve"> die Betr</w:t>
      </w:r>
      <w:r w:rsidR="00FB6A82">
        <w:t>o</w:t>
      </w:r>
      <w:r w:rsidR="006B0A63">
        <w:t>ffenen</w:t>
      </w:r>
      <w:r w:rsidR="00BB03A7">
        <w:t>, wie Peter Gay formuliert,</w:t>
      </w:r>
      <w:r w:rsidR="00BD694F">
        <w:t xml:space="preserve"> </w:t>
      </w:r>
      <w:r w:rsidR="006B0A63">
        <w:t>„</w:t>
      </w:r>
      <w:r w:rsidR="00BD694F">
        <w:t>dem Antisemitismus keine besondere Bedeutung bei; sie hielte</w:t>
      </w:r>
      <w:r w:rsidR="00BB03A7">
        <w:t>n</w:t>
      </w:r>
      <w:r w:rsidR="00BD694F">
        <w:t xml:space="preserve"> das für einen Atavismus, dem eine große Kulturnation wie die deutsche sicher schnell entwachsen würde“</w:t>
      </w:r>
      <w:r>
        <w:t>.</w:t>
      </w:r>
      <w:r>
        <w:rPr>
          <w:rStyle w:val="Funotenzeichen"/>
        </w:rPr>
        <w:footnoteReference w:id="7"/>
      </w:r>
      <w:r w:rsidR="00BD694F">
        <w:t xml:space="preserve"> </w:t>
      </w:r>
      <w:r w:rsidR="001217D2">
        <w:t xml:space="preserve">Der Antisemitismus </w:t>
      </w:r>
      <w:r w:rsidR="00BF308A">
        <w:t>war</w:t>
      </w:r>
      <w:r w:rsidR="001217D2">
        <w:t xml:space="preserve"> </w:t>
      </w:r>
      <w:r w:rsidR="00BF308A">
        <w:t>in ihren Augen „</w:t>
      </w:r>
      <w:r w:rsidR="001217D2">
        <w:t xml:space="preserve">eine Krankheit </w:t>
      </w:r>
      <w:r w:rsidR="00BF308A">
        <w:t>[…]</w:t>
      </w:r>
      <w:r w:rsidR="001217D2">
        <w:t>, für die manche Deu</w:t>
      </w:r>
      <w:r w:rsidR="001217D2">
        <w:t>t</w:t>
      </w:r>
      <w:r w:rsidR="001217D2">
        <w:t>sch</w:t>
      </w:r>
      <w:r w:rsidR="006B0A63">
        <w:t>e</w:t>
      </w:r>
      <w:r w:rsidR="001217D2">
        <w:t xml:space="preserve"> anfällig waren und andere nicht“.</w:t>
      </w:r>
      <w:r w:rsidR="001217D2">
        <w:rPr>
          <w:rStyle w:val="Funotenzeichen"/>
        </w:rPr>
        <w:footnoteReference w:id="8"/>
      </w:r>
      <w:r w:rsidR="00B838F8">
        <w:t xml:space="preserve"> </w:t>
      </w:r>
    </w:p>
    <w:p w:rsidR="00FC79E0" w:rsidRDefault="00BB03A7" w:rsidP="00BF308A">
      <w:pPr>
        <w:spacing w:after="0"/>
        <w:ind w:firstLine="708"/>
        <w:jc w:val="both"/>
      </w:pPr>
      <w:r>
        <w:t xml:space="preserve">Peter Gay sieht den </w:t>
      </w:r>
      <w:r w:rsidR="006B0A63">
        <w:t>Grund für dieses</w:t>
      </w:r>
      <w:r w:rsidR="008A2118">
        <w:t xml:space="preserve"> Fehlurteil</w:t>
      </w:r>
      <w:r w:rsidR="006B0A63">
        <w:t xml:space="preserve"> in der Tatsache</w:t>
      </w:r>
      <w:r w:rsidR="001217D2">
        <w:t xml:space="preserve">, dass </w:t>
      </w:r>
      <w:r w:rsidR="00FC79E0">
        <w:t>die meisten jüd</w:t>
      </w:r>
      <w:r w:rsidR="00FC79E0">
        <w:t>i</w:t>
      </w:r>
      <w:r w:rsidR="00FC79E0">
        <w:t xml:space="preserve">schen Künstler und Intellektuellen </w:t>
      </w:r>
      <w:r>
        <w:t xml:space="preserve">sich </w:t>
      </w:r>
      <w:r w:rsidR="00FC79E0">
        <w:t>in der deutsche</w:t>
      </w:r>
      <w:r>
        <w:t>n</w:t>
      </w:r>
      <w:r w:rsidR="00FC79E0">
        <w:t xml:space="preserve"> Kultur „</w:t>
      </w:r>
      <w:r w:rsidR="001217D2" w:rsidRPr="00FC79E0">
        <w:t>wie in ihrem eigenen El</w:t>
      </w:r>
      <w:r w:rsidR="001217D2" w:rsidRPr="00FC79E0">
        <w:t>e</w:t>
      </w:r>
      <w:r w:rsidR="001217D2" w:rsidRPr="00FC79E0">
        <w:t>ment</w:t>
      </w:r>
      <w:r w:rsidR="001217D2">
        <w:rPr>
          <w:i/>
        </w:rPr>
        <w:t xml:space="preserve"> </w:t>
      </w:r>
      <w:r w:rsidR="001217D2" w:rsidRPr="00FC79E0">
        <w:t>bewegten“</w:t>
      </w:r>
      <w:r w:rsidR="001217D2">
        <w:rPr>
          <w:i/>
        </w:rPr>
        <w:t>.</w:t>
      </w:r>
      <w:r w:rsidR="001217D2" w:rsidRPr="00FB6A82">
        <w:rPr>
          <w:rStyle w:val="Funotenzeichen"/>
        </w:rPr>
        <w:footnoteReference w:id="9"/>
      </w:r>
      <w:r w:rsidR="001217D2">
        <w:t xml:space="preserve"> </w:t>
      </w:r>
      <w:r w:rsidR="00FC79E0">
        <w:t>Dies ha</w:t>
      </w:r>
      <w:r>
        <w:t>b</w:t>
      </w:r>
      <w:r w:rsidR="00FC79E0">
        <w:t>e zur Folge</w:t>
      </w:r>
      <w:r>
        <w:t xml:space="preserve"> gehabt</w:t>
      </w:r>
      <w:r w:rsidR="00FC79E0">
        <w:t>, dass sie der Geringschätzung, mit der sie im beruflichen und sozialen Leben immer wieder konfrontiert wurden, nicht die gebührende B</w:t>
      </w:r>
      <w:r w:rsidR="00FC79E0">
        <w:t>e</w:t>
      </w:r>
      <w:r w:rsidR="00FC79E0">
        <w:t>achtung schenkten.</w:t>
      </w:r>
      <w:r w:rsidR="008A2118">
        <w:rPr>
          <w:rStyle w:val="Funotenzeichen"/>
        </w:rPr>
        <w:footnoteReference w:id="10"/>
      </w:r>
      <w:r w:rsidR="00ED2F75">
        <w:t xml:space="preserve"> Wer in einer derartig engen Beziehung zur Kultur des Landes steht, </w:t>
      </w:r>
      <w:r w:rsidR="00FB6A82">
        <w:t>in dem er lebt, d</w:t>
      </w:r>
      <w:r w:rsidR="00ED2F75">
        <w:t>em</w:t>
      </w:r>
      <w:r w:rsidR="00FB6A82">
        <w:t xml:space="preserve"> ist e</w:t>
      </w:r>
      <w:r w:rsidR="00ED2F75">
        <w:t xml:space="preserve">s tatsächlich </w:t>
      </w:r>
      <w:r w:rsidR="00FB6A82">
        <w:t>unter Umständen</w:t>
      </w:r>
      <w:r w:rsidR="00ED2F75">
        <w:t xml:space="preserve"> unmöglich, sich von diesem Land zu di</w:t>
      </w:r>
      <w:r w:rsidR="00ED2F75">
        <w:t>s</w:t>
      </w:r>
      <w:r w:rsidR="00ED2F75">
        <w:t xml:space="preserve">tanzieren. Er differenziert </w:t>
      </w:r>
      <w:r w:rsidR="00FB6A82">
        <w:t xml:space="preserve">bewusst oder unbewusst </w:t>
      </w:r>
      <w:r w:rsidR="00ED2F75">
        <w:t>zwischen dem Land und der aktuellen R</w:t>
      </w:r>
      <w:r w:rsidR="00ED2F75">
        <w:t>e</w:t>
      </w:r>
      <w:r w:rsidR="00ED2F75">
        <w:t>gierung bzw. Regierungsform.</w:t>
      </w:r>
      <w:r w:rsidR="00B87B46">
        <w:t xml:space="preserve"> </w:t>
      </w:r>
    </w:p>
    <w:p w:rsidR="00FB6A82" w:rsidRDefault="00823B96" w:rsidP="00263886">
      <w:pPr>
        <w:spacing w:after="0"/>
        <w:ind w:firstLine="708"/>
        <w:jc w:val="both"/>
      </w:pPr>
      <w:r>
        <w:t>L</w:t>
      </w:r>
      <w:r w:rsidR="00B87B46">
        <w:t>etztlich dürfte</w:t>
      </w:r>
      <w:r w:rsidR="00FB6A82">
        <w:t>n</w:t>
      </w:r>
      <w:r w:rsidR="00B87B46">
        <w:t xml:space="preserve"> Fakt</w:t>
      </w:r>
      <w:r w:rsidR="00FB6A82">
        <w:t>en dieser Art</w:t>
      </w:r>
      <w:r w:rsidR="00B87B46">
        <w:t xml:space="preserve"> </w:t>
      </w:r>
      <w:r w:rsidR="00FB6A82">
        <w:t>die Ursache</w:t>
      </w:r>
      <w:r w:rsidR="00FC79E0">
        <w:t xml:space="preserve"> </w:t>
      </w:r>
      <w:r>
        <w:t>dafür gewesen sein, dass allenfalls in Teilen der jüdischen Bevölkerungsgruppe ein charakteristisches Gemeinschaftsgefühl</w:t>
      </w:r>
      <w:r w:rsidR="00FC79E0">
        <w:t>:</w:t>
      </w:r>
      <w:r>
        <w:t xml:space="preserve"> das Bewusstsein einer speziellen „jüdischen Identität“, vorhanden war. Nicht bloß die Assimilat</w:t>
      </w:r>
      <w:r>
        <w:t>i</w:t>
      </w:r>
      <w:r>
        <w:t xml:space="preserve">on, sondern vor allem der Prozess der </w:t>
      </w:r>
      <w:r w:rsidRPr="00FC79E0">
        <w:rPr>
          <w:i/>
        </w:rPr>
        <w:t>Akkulturation</w:t>
      </w:r>
      <w:r>
        <w:t xml:space="preserve"> war so weit vorangeschritten, dass in großen Teilen des sozialen Lebens d</w:t>
      </w:r>
      <w:r w:rsidR="00FB6A82">
        <w:t>as Bewusstsein</w:t>
      </w:r>
      <w:r>
        <w:t xml:space="preserve"> von </w:t>
      </w:r>
      <w:r w:rsidR="00FB6A82">
        <w:t>„</w:t>
      </w:r>
      <w:r>
        <w:t>Differenz</w:t>
      </w:r>
      <w:r w:rsidR="00FB6A82">
        <w:t>“</w:t>
      </w:r>
      <w:r>
        <w:t xml:space="preserve"> nicht mehr vorhanden war.</w:t>
      </w:r>
      <w:r w:rsidR="00FB6A82">
        <w:t xml:space="preserve"> Die Zahl der Mischehen wuchs an; </w:t>
      </w:r>
      <w:r w:rsidR="00C26AFF">
        <w:t>gleichzeitig lockerte sich die Bindung an die Religion immer stärker.</w:t>
      </w:r>
    </w:p>
    <w:p w:rsidR="00ED2F75" w:rsidRDefault="00BB03A7" w:rsidP="00263886">
      <w:pPr>
        <w:spacing w:after="0"/>
        <w:ind w:firstLine="708"/>
        <w:jc w:val="both"/>
      </w:pPr>
      <w:r>
        <w:lastRenderedPageBreak/>
        <w:t>A</w:t>
      </w:r>
      <w:r w:rsidR="00263886">
        <w:t>ufschlussreich ist in diesem Kontext e</w:t>
      </w:r>
      <w:r w:rsidR="00B838F8">
        <w:t>ine</w:t>
      </w:r>
      <w:r w:rsidR="00263886">
        <w:t xml:space="preserve"> Stellungnahme </w:t>
      </w:r>
      <w:r w:rsidR="00060BEC">
        <w:t>Joseph Roth</w:t>
      </w:r>
      <w:r w:rsidR="00263886">
        <w:t>s. In einem Brief</w:t>
      </w:r>
      <w:r w:rsidR="00060BEC">
        <w:t xml:space="preserve"> </w:t>
      </w:r>
      <w:r w:rsidR="00FC79E0">
        <w:t xml:space="preserve">an Stefan Zweig </w:t>
      </w:r>
      <w:r w:rsidR="00263886">
        <w:t>vom 22. März 1933</w:t>
      </w:r>
      <w:r w:rsidR="00823B96">
        <w:t xml:space="preserve"> </w:t>
      </w:r>
      <w:r w:rsidR="00263886">
        <w:t>äußert er sich</w:t>
      </w:r>
      <w:r w:rsidR="00060BEC">
        <w:t xml:space="preserve"> </w:t>
      </w:r>
      <w:r w:rsidR="006777A3">
        <w:t xml:space="preserve">zu </w:t>
      </w:r>
      <w:r w:rsidR="00C26AFF">
        <w:t xml:space="preserve">Zweigs </w:t>
      </w:r>
      <w:r w:rsidR="006777A3">
        <w:t>Pflicht als eines „Europ</w:t>
      </w:r>
      <w:r w:rsidR="006777A3">
        <w:t>ä</w:t>
      </w:r>
      <w:r w:rsidR="006777A3">
        <w:t>ers“</w:t>
      </w:r>
      <w:r w:rsidR="00823B96">
        <w:t xml:space="preserve"> – </w:t>
      </w:r>
      <w:r w:rsidR="00823B96" w:rsidRPr="00C26AFF">
        <w:t>also nicht des jüdischen Schriftstellers Zweig!</w:t>
      </w:r>
      <w:r w:rsidR="00823B96">
        <w:t xml:space="preserve"> –</w:t>
      </w:r>
      <w:r w:rsidR="006777A3">
        <w:t xml:space="preserve">, gegen die „Bestialität“ des Dritten Reiches öffentlich Stellung zu nehmen. </w:t>
      </w:r>
      <w:r w:rsidR="00C26AFF">
        <w:t>– R</w:t>
      </w:r>
      <w:r w:rsidR="00823B96">
        <w:t xml:space="preserve">oth argumentiert in folgender Weise: </w:t>
      </w:r>
      <w:r w:rsidR="006777A3">
        <w:t>D</w:t>
      </w:r>
      <w:r w:rsidR="00060BEC" w:rsidRPr="00ED2F75">
        <w:t xml:space="preserve">as </w:t>
      </w:r>
      <w:r w:rsidR="00ED2F75">
        <w:t>„</w:t>
      </w:r>
      <w:r w:rsidR="00060BEC" w:rsidRPr="00ED2F75">
        <w:t>jüd</w:t>
      </w:r>
      <w:r w:rsidR="00060BEC" w:rsidRPr="00ED2F75">
        <w:t>i</w:t>
      </w:r>
      <w:r w:rsidR="00060BEC" w:rsidRPr="00ED2F75">
        <w:t>sche Erbe</w:t>
      </w:r>
      <w:r w:rsidR="00ED2F75">
        <w:t>“</w:t>
      </w:r>
      <w:r w:rsidR="006777A3">
        <w:t xml:space="preserve">, an das auch Zweig gebunden sei, bestehe heute nicht mehr in der Einhaltung des zeremoniellen Rituals, und </w:t>
      </w:r>
      <w:r w:rsidR="00064A0F">
        <w:t>schon gar</w:t>
      </w:r>
      <w:r w:rsidR="006777A3">
        <w:t xml:space="preserve"> nicht </w:t>
      </w:r>
      <w:r w:rsidR="00C26AFF">
        <w:t>in der traditionellen jüdischen Pflicht „</w:t>
      </w:r>
      <w:r w:rsidR="006777A3">
        <w:t>zu schwe</w:t>
      </w:r>
      <w:r w:rsidR="006777A3">
        <w:t>i</w:t>
      </w:r>
      <w:r w:rsidR="006777A3">
        <w:t>gen und zu leiden“</w:t>
      </w:r>
      <w:r w:rsidR="00263886">
        <w:t xml:space="preserve">. </w:t>
      </w:r>
      <w:r w:rsidR="006777A3">
        <w:t>Wenn man das „jüdische Erbe“</w:t>
      </w:r>
      <w:r w:rsidR="00C26AFF">
        <w:t xml:space="preserve"> auch heute noch</w:t>
      </w:r>
      <w:r w:rsidR="006777A3">
        <w:t xml:space="preserve"> </w:t>
      </w:r>
      <w:r w:rsidR="00064A0F" w:rsidRPr="00064A0F">
        <w:rPr>
          <w:i/>
        </w:rPr>
        <w:t>im Schweigen</w:t>
      </w:r>
      <w:r w:rsidR="00064A0F">
        <w:t xml:space="preserve"> </w:t>
      </w:r>
      <w:r w:rsidR="006777A3">
        <w:t>sähe, wü</w:t>
      </w:r>
      <w:r w:rsidR="006777A3">
        <w:t>r</w:t>
      </w:r>
      <w:r w:rsidR="006777A3">
        <w:t xml:space="preserve">de man das „2000jährige </w:t>
      </w:r>
      <w:r w:rsidR="006777A3" w:rsidRPr="00064A0F">
        <w:rPr>
          <w:i/>
        </w:rPr>
        <w:t>nichtjüdische</w:t>
      </w:r>
      <w:r w:rsidR="006777A3">
        <w:t xml:space="preserve"> Erbe“ verleugnen</w:t>
      </w:r>
      <w:r w:rsidR="004B1FE0">
        <w:t>: in diesem Fall „Goethe Lessing Herder“</w:t>
      </w:r>
      <w:r w:rsidR="006777A3">
        <w:t>, an dem man als Jude ebenso teilhabe wie am jüdischen Erbe</w:t>
      </w:r>
      <w:r w:rsidR="00B838F8">
        <w:t xml:space="preserve">. Es sei </w:t>
      </w:r>
      <w:r w:rsidR="00B838F8" w:rsidRPr="00064A0F">
        <w:t>dieses</w:t>
      </w:r>
      <w:r w:rsidR="00B838F8">
        <w:t xml:space="preserve"> </w:t>
      </w:r>
      <w:r w:rsidR="00064A0F">
        <w:t>nichtjüd</w:t>
      </w:r>
      <w:r w:rsidR="00064A0F">
        <w:t>i</w:t>
      </w:r>
      <w:r w:rsidR="00064A0F">
        <w:t xml:space="preserve">sche </w:t>
      </w:r>
      <w:r w:rsidR="00B838F8">
        <w:t xml:space="preserve">Erbe, dass es </w:t>
      </w:r>
      <w:r w:rsidR="00C26AFF">
        <w:t>jedermann</w:t>
      </w:r>
      <w:r w:rsidR="00B838F8">
        <w:t xml:space="preserve"> zur Pflicht mache, öffentlich Stellung zu beziehen</w:t>
      </w:r>
      <w:r w:rsidR="00C26AFF">
        <w:t>. – Roth fo</w:t>
      </w:r>
      <w:r w:rsidR="00C26AFF">
        <w:t>r</w:t>
      </w:r>
      <w:r w:rsidR="00C26AFF">
        <w:t>muliert spöttisch und provokativ. Offensichtlich will er Zweig aus falscher Lethargie reißen</w:t>
      </w:r>
      <w:r w:rsidR="00060BEC" w:rsidRPr="00ED2F75">
        <w:t>:</w:t>
      </w:r>
      <w:r w:rsidR="00060BEC">
        <w:t xml:space="preserve"> </w:t>
      </w:r>
    </w:p>
    <w:p w:rsidR="006777A3" w:rsidRDefault="00060BEC" w:rsidP="00ED2F75">
      <w:pPr>
        <w:spacing w:after="0"/>
        <w:ind w:left="1134"/>
        <w:jc w:val="both"/>
      </w:pPr>
      <w:r>
        <w:t xml:space="preserve">„Haben Sie Talmud gelernt? Beten Sie jeden Tag zu Jehova? Legen Sie </w:t>
      </w:r>
      <w:proofErr w:type="spellStart"/>
      <w:r>
        <w:t>Tefilim</w:t>
      </w:r>
      <w:proofErr w:type="spellEnd"/>
      <w:r>
        <w:t xml:space="preserve">? Nein, es ist vorbei – und man trägt eben mitten im Deutschtum als ein Deutscher das Erbe, das von allen anderen Völkern der gesitteten Erde, wenn nicht immer freudig angenommen, so doch zumindest nicht mit dem Gummiknüppel bestraft wird. Im Übrigen: so weise Sie daran tun, jetzt keine repräsentativen Vorträge zu halten: Sie werden sich darüber klar sein, </w:t>
      </w:r>
      <w:proofErr w:type="spellStart"/>
      <w:r>
        <w:t>daß</w:t>
      </w:r>
      <w:proofErr w:type="spellEnd"/>
      <w:r>
        <w:t xml:space="preserve"> ein Widerspruch ist zwischen der durchaus legitimen Haltung eines Europäers, die Sie Zeit Ihres Lebens als ein deutscher Schriftsteller von Rang und Gnaden gegen Bestialität eingenommen h</w:t>
      </w:r>
      <w:r>
        <w:t>a</w:t>
      </w:r>
      <w:r>
        <w:t xml:space="preserve">ben und der spontanen Besinnung auf die Pflicht zu Schweigen und Leiden, die vielleicht, ja, sicher </w:t>
      </w:r>
      <w:r w:rsidR="00C26AFF">
        <w:t xml:space="preserve">[!] </w:t>
      </w:r>
      <w:r>
        <w:t>Ihren Ahnen</w:t>
      </w:r>
      <w:r w:rsidR="00064A0F">
        <w:t xml:space="preserve"> </w:t>
      </w:r>
      <w:r>
        <w:t xml:space="preserve">angestanden hat, aber nicht mehr Ihnen, das freiwillige, meine ich natürlich. Man konnte das 6000jährige jüdische Erbe nicht verleugnen; aber </w:t>
      </w:r>
      <w:proofErr w:type="spellStart"/>
      <w:r>
        <w:t>ebensowenig</w:t>
      </w:r>
      <w:proofErr w:type="spellEnd"/>
      <w:r>
        <w:t xml:space="preserve"> kann man das 2000jährige </w:t>
      </w:r>
      <w:r>
        <w:rPr>
          <w:i/>
        </w:rPr>
        <w:t>nicht jüdische</w:t>
      </w:r>
      <w:r>
        <w:t xml:space="preserve"> verleu</w:t>
      </w:r>
      <w:r>
        <w:t>g</w:t>
      </w:r>
      <w:r>
        <w:t>nen. Wir kommen eher aus der ‚Emanzipation‘, aus der Humanität, aus dem ‚H</w:t>
      </w:r>
      <w:r>
        <w:t>u</w:t>
      </w:r>
      <w:r>
        <w:t>manen‘ überhaupt, als aus Ägypten. Unsere Ahnen sind Goeth</w:t>
      </w:r>
      <w:r w:rsidR="00D02EE1">
        <w:t>e</w:t>
      </w:r>
      <w:r>
        <w:t xml:space="preserve"> Lessing Herder nicht minder als Abraham Isaac und Jacob. Im Übrigen werden wir nicht mehr, wie unsere Vorfahren von frommen Christen geschlagen, sondern von Gottlosen Heiden. Hier geht es nicht gegen Juden allein. Obwohl sie, wie immer, das schärfste Geschrei erheben. Hier geht es gegen die europäische Zivilisation, gegen die Humanität, deren Vorkämpfer Sie mit Recht und Stolz sind. (Und gegen Gott)“</w:t>
      </w:r>
      <w:r w:rsidR="006777A3">
        <w:t>.</w:t>
      </w:r>
      <w:r w:rsidR="006777A3">
        <w:rPr>
          <w:rStyle w:val="Funotenzeichen"/>
        </w:rPr>
        <w:footnoteReference w:id="11"/>
      </w:r>
    </w:p>
    <w:p w:rsidR="00182DD5" w:rsidRDefault="00B467B4" w:rsidP="009C03AC">
      <w:pPr>
        <w:spacing w:after="0"/>
        <w:jc w:val="both"/>
      </w:pPr>
      <w:r>
        <w:t xml:space="preserve">De facto verdeutlicht </w:t>
      </w:r>
      <w:r w:rsidR="00B41EA9">
        <w:t>Joseph Roths</w:t>
      </w:r>
      <w:r>
        <w:t xml:space="preserve"> Argumentation, dass es </w:t>
      </w:r>
      <w:r w:rsidR="009C6B4A">
        <w:t xml:space="preserve">zu dieser Zeit </w:t>
      </w:r>
      <w:r w:rsidR="004C3712">
        <w:t>– a</w:t>
      </w:r>
      <w:r w:rsidR="00822A0D">
        <w:t xml:space="preserve">bgesehen von dem </w:t>
      </w:r>
      <w:r w:rsidR="00B838F8">
        <w:t xml:space="preserve">vergleichsweise engen </w:t>
      </w:r>
      <w:r>
        <w:t>Kreis der „politischen Emigration“</w:t>
      </w:r>
      <w:r w:rsidR="00064A0F">
        <w:rPr>
          <w:rStyle w:val="Funotenzeichen"/>
        </w:rPr>
        <w:footnoteReference w:id="12"/>
      </w:r>
      <w:r w:rsidR="004C3712">
        <w:t xml:space="preserve"> –</w:t>
      </w:r>
      <w:r w:rsidR="009C6B4A">
        <w:t xml:space="preserve"> </w:t>
      </w:r>
      <w:r w:rsidR="00064A0F">
        <w:t xml:space="preserve">von jüdischer Seite zwar zahlreiche Klagen gegen die nationalsozialistische Rassengesetzgebung gab, </w:t>
      </w:r>
      <w:r w:rsidR="00CE0283">
        <w:t xml:space="preserve">aber </w:t>
      </w:r>
      <w:r w:rsidR="00822A0D">
        <w:t>nur wenige</w:t>
      </w:r>
      <w:r>
        <w:t xml:space="preserve"> überzeugende Stellungnahmen</w:t>
      </w:r>
      <w:r w:rsidR="00064A0F">
        <w:t xml:space="preserve"> repräsentative</w:t>
      </w:r>
      <w:r w:rsidR="00CE0283">
        <w:t>r</w:t>
      </w:r>
      <w:r w:rsidR="00064A0F">
        <w:t xml:space="preserve"> jüdische</w:t>
      </w:r>
      <w:r w:rsidR="00CE0283">
        <w:t>r</w:t>
      </w:r>
      <w:r w:rsidR="00064A0F">
        <w:t xml:space="preserve"> Organe</w:t>
      </w:r>
      <w:r>
        <w:t xml:space="preserve">. </w:t>
      </w:r>
      <w:r w:rsidR="00347019">
        <w:t>Die jüdischen Organisati</w:t>
      </w:r>
      <w:r w:rsidR="00347019">
        <w:t>o</w:t>
      </w:r>
      <w:r w:rsidR="00347019">
        <w:t xml:space="preserve">nen, insbesondere die </w:t>
      </w:r>
      <w:r w:rsidR="00347019">
        <w:rPr>
          <w:i/>
        </w:rPr>
        <w:t>C.V.-Zeitung</w:t>
      </w:r>
      <w:r w:rsidR="009B1F35">
        <w:t xml:space="preserve">, </w:t>
      </w:r>
      <w:r w:rsidR="00822A0D">
        <w:t xml:space="preserve">hielten sich mit Kritik zurück </w:t>
      </w:r>
      <w:r w:rsidR="00CE0283">
        <w:t xml:space="preserve">– sie </w:t>
      </w:r>
      <w:r w:rsidR="009B1F35" w:rsidRPr="009C6B4A">
        <w:t>protestier</w:t>
      </w:r>
      <w:r w:rsidR="00822A0D" w:rsidRPr="009C6B4A">
        <w:t>t</w:t>
      </w:r>
      <w:r w:rsidR="009B1F35" w:rsidRPr="009C6B4A">
        <w:t>en</w:t>
      </w:r>
      <w:r w:rsidR="009B1F35">
        <w:t xml:space="preserve"> </w:t>
      </w:r>
      <w:r w:rsidR="00822A0D">
        <w:t xml:space="preserve">sogar </w:t>
      </w:r>
      <w:r w:rsidR="009B1F35" w:rsidRPr="00C959EF">
        <w:t>gegen die</w:t>
      </w:r>
      <w:r w:rsidR="009B1F35" w:rsidRPr="00C959EF">
        <w:rPr>
          <w:i/>
        </w:rPr>
        <w:t xml:space="preserve"> </w:t>
      </w:r>
      <w:r w:rsidR="00C959EF">
        <w:t>angeblich</w:t>
      </w:r>
      <w:r w:rsidR="00C959EF" w:rsidRPr="00C959EF">
        <w:rPr>
          <w:i/>
        </w:rPr>
        <w:t xml:space="preserve"> </w:t>
      </w:r>
      <w:r w:rsidR="009B1F35" w:rsidRPr="00C959EF">
        <w:rPr>
          <w:i/>
        </w:rPr>
        <w:t xml:space="preserve">„zügellose“ bzw. „verlogene </w:t>
      </w:r>
      <w:proofErr w:type="spellStart"/>
      <w:r w:rsidR="009B1F35" w:rsidRPr="00C959EF">
        <w:rPr>
          <w:i/>
        </w:rPr>
        <w:t>Greuelpropaganda</w:t>
      </w:r>
      <w:proofErr w:type="spellEnd"/>
      <w:r w:rsidR="009B1F35" w:rsidRPr="00C959EF">
        <w:rPr>
          <w:i/>
        </w:rPr>
        <w:t>“</w:t>
      </w:r>
      <w:r w:rsidR="00CE0283">
        <w:rPr>
          <w:rStyle w:val="Funotenzeichen"/>
        </w:rPr>
        <w:footnoteReference w:id="13"/>
      </w:r>
      <w:r w:rsidR="00CE0283">
        <w:t xml:space="preserve"> –</w:t>
      </w:r>
      <w:r w:rsidR="009B1F35">
        <w:t xml:space="preserve">, die </w:t>
      </w:r>
      <w:r w:rsidR="00C959EF">
        <w:t xml:space="preserve">in dieser Frage </w:t>
      </w:r>
      <w:r w:rsidR="004C3712">
        <w:lastRenderedPageBreak/>
        <w:t xml:space="preserve">seitens des Auslands </w:t>
      </w:r>
      <w:r w:rsidR="009B1F35">
        <w:t>betrieben w</w:t>
      </w:r>
      <w:r w:rsidR="00CE0283">
        <w:t>u</w:t>
      </w:r>
      <w:r w:rsidR="009B1F35">
        <w:t>rd</w:t>
      </w:r>
      <w:r w:rsidR="00822A0D">
        <w:t>e</w:t>
      </w:r>
      <w:r w:rsidR="009B1F35">
        <w:t>.</w:t>
      </w:r>
      <w:r w:rsidR="00347019">
        <w:t xml:space="preserve"> </w:t>
      </w:r>
      <w:r w:rsidR="00822A0D">
        <w:t>Sie desavouierten damit die Bemühungen ausländ</w:t>
      </w:r>
      <w:r w:rsidR="00822A0D">
        <w:t>i</w:t>
      </w:r>
      <w:r w:rsidR="00822A0D">
        <w:t xml:space="preserve">scher Organisationen, </w:t>
      </w:r>
      <w:r w:rsidR="00CE0283">
        <w:t xml:space="preserve">durch öffentlichen Protest </w:t>
      </w:r>
      <w:r w:rsidR="00822A0D">
        <w:t>der NS-Regierung Einhalt zu gebieten.</w:t>
      </w:r>
      <w:r w:rsidR="009C03AC">
        <w:rPr>
          <w:rStyle w:val="Funotenzeichen"/>
        </w:rPr>
        <w:footnoteReference w:id="14"/>
      </w:r>
      <w:r w:rsidR="00822A0D">
        <w:t xml:space="preserve"> </w:t>
      </w:r>
    </w:p>
    <w:p w:rsidR="009C03AC" w:rsidRDefault="00927865" w:rsidP="00182DD5">
      <w:pPr>
        <w:spacing w:after="0"/>
        <w:ind w:firstLine="708"/>
        <w:jc w:val="both"/>
      </w:pPr>
      <w:r>
        <w:t xml:space="preserve">In den Augen des </w:t>
      </w:r>
      <w:r w:rsidR="00C959EF">
        <w:t xml:space="preserve">politischen Exils, also für die Angehörigen des Parteienexils und des </w:t>
      </w:r>
      <w:r>
        <w:t>Schriftstellerexils</w:t>
      </w:r>
      <w:r w:rsidR="00C959EF">
        <w:t>,</w:t>
      </w:r>
      <w:r>
        <w:t xml:space="preserve"> verlor d</w:t>
      </w:r>
      <w:r w:rsidR="009C03AC">
        <w:t xml:space="preserve">ie jüdische Bevölkerungsgruppe durch das Verhalten </w:t>
      </w:r>
      <w:r w:rsidR="004038A0">
        <w:t>ihrer Verbä</w:t>
      </w:r>
      <w:r w:rsidR="004038A0">
        <w:t>n</w:t>
      </w:r>
      <w:r w:rsidR="004038A0">
        <w:t xml:space="preserve">de sowie </w:t>
      </w:r>
      <w:r w:rsidR="00182DD5">
        <w:t xml:space="preserve">ihrer Vertreter im Bereich von Wirtschaft und Finanz </w:t>
      </w:r>
      <w:r w:rsidR="009C03AC">
        <w:t xml:space="preserve">erheblich an Ansehen. </w:t>
      </w:r>
      <w:r w:rsidR="00C959EF">
        <w:t xml:space="preserve">Hier liegt der Ursprung für den generalisierenden Begriff der „Wirtschaftsemigration“, mit der die jüdischen Emigranten speziell von kommunistischer Seite bezeichnet wurden. </w:t>
      </w:r>
      <w:r w:rsidR="009C03AC">
        <w:t>Die Tatsache, dass die in Deutschland lebenden Juden sich nicht eindeutig artikulier</w:t>
      </w:r>
      <w:r w:rsidR="00182DD5">
        <w:t>t</w:t>
      </w:r>
      <w:r w:rsidR="009C03AC">
        <w:t xml:space="preserve">en, trieb einen Keil zwischen die „jüdische“ und die „politische“ Emigration. </w:t>
      </w:r>
      <w:r w:rsidR="00207518">
        <w:t xml:space="preserve">Der Tatbestand hatte </w:t>
      </w:r>
      <w:r>
        <w:t>Konsequenz</w:t>
      </w:r>
      <w:r w:rsidR="00207518">
        <w:t xml:space="preserve">en </w:t>
      </w:r>
      <w:r w:rsidR="00FA249F">
        <w:t xml:space="preserve">auch </w:t>
      </w:r>
      <w:r>
        <w:t>im</w:t>
      </w:r>
      <w:r w:rsidR="00207518">
        <w:t xml:space="preserve"> Bereich der literarischen Entwicklung. Antisemitismus und Judenverfolgung sind – von den bekannten, bedeutenden Ausnahmen abgesehen – Themen, die in der Exilliteratur zu wenig vertreten sind. </w:t>
      </w:r>
    </w:p>
    <w:p w:rsidR="00347019" w:rsidRDefault="00347019" w:rsidP="00060BEC">
      <w:pPr>
        <w:spacing w:after="0"/>
        <w:jc w:val="both"/>
      </w:pPr>
    </w:p>
    <w:p w:rsidR="00A73253" w:rsidRDefault="00927865" w:rsidP="00927865">
      <w:pPr>
        <w:spacing w:after="0"/>
        <w:ind w:firstLine="708"/>
        <w:jc w:val="both"/>
      </w:pPr>
      <w:r>
        <w:t>So naheliegend die Kritik am Verhalten der jüdischen Verbände und Organisationen aus heutiger Sicht auch ist – die</w:t>
      </w:r>
      <w:r w:rsidR="004038A0">
        <w:t>se</w:t>
      </w:r>
      <w:r>
        <w:t xml:space="preserve"> Kritik</w:t>
      </w:r>
      <w:r w:rsidR="0042469F">
        <w:t xml:space="preserve"> unterstellt</w:t>
      </w:r>
      <w:r w:rsidR="00FA249F">
        <w:t>e</w:t>
      </w:r>
      <w:r w:rsidR="0042469F">
        <w:t xml:space="preserve"> in Hinblick auf die jüdische Bevölk</w:t>
      </w:r>
      <w:r w:rsidR="0042469F">
        <w:t>e</w:t>
      </w:r>
      <w:r w:rsidR="0042469F">
        <w:t xml:space="preserve">rungsgruppe </w:t>
      </w:r>
      <w:r w:rsidR="00A73253">
        <w:t>e</w:t>
      </w:r>
      <w:r w:rsidR="0042469F">
        <w:t>ine</w:t>
      </w:r>
      <w:r w:rsidR="00A73253">
        <w:t xml:space="preserve"> Geschlossenheit</w:t>
      </w:r>
      <w:r w:rsidR="0042469F">
        <w:t xml:space="preserve">, die in der Realität nicht </w:t>
      </w:r>
      <w:r w:rsidR="00FA249F">
        <w:t>vorhand</w:t>
      </w:r>
      <w:r w:rsidR="0042469F">
        <w:t>en war</w:t>
      </w:r>
      <w:r w:rsidR="00A73253">
        <w:t xml:space="preserve">. Die </w:t>
      </w:r>
      <w:r w:rsidR="00FA249F">
        <w:t xml:space="preserve">jüdischen </w:t>
      </w:r>
      <w:r w:rsidR="00A73253">
        <w:t>Verbände und Organisationen repräsentierten keine einheitliche soziale G</w:t>
      </w:r>
      <w:r w:rsidR="00A516F1">
        <w:t>emeinschaft</w:t>
      </w:r>
      <w:r w:rsidR="00A73253">
        <w:t>, so</w:t>
      </w:r>
      <w:r w:rsidR="00A73253">
        <w:t>n</w:t>
      </w:r>
      <w:r w:rsidR="00A73253">
        <w:t xml:space="preserve">dern </w:t>
      </w:r>
      <w:r w:rsidR="0042469F">
        <w:t xml:space="preserve">jeweils </w:t>
      </w:r>
      <w:r w:rsidR="00A516F1">
        <w:t>Einzel</w:t>
      </w:r>
      <w:r w:rsidR="00A73253">
        <w:t xml:space="preserve">gruppen. Günter </w:t>
      </w:r>
      <w:proofErr w:type="spellStart"/>
      <w:r w:rsidR="00A73253">
        <w:t>Plum</w:t>
      </w:r>
      <w:proofErr w:type="spellEnd"/>
      <w:r w:rsidR="00A73253">
        <w:t xml:space="preserve"> formuliert </w:t>
      </w:r>
      <w:r w:rsidR="004038A0">
        <w:t>in dem von Wolfgang Benz herausgeg</w:t>
      </w:r>
      <w:r w:rsidR="004038A0">
        <w:t>e</w:t>
      </w:r>
      <w:r w:rsidR="004038A0">
        <w:t xml:space="preserve">benen Band </w:t>
      </w:r>
      <w:r w:rsidR="004038A0">
        <w:rPr>
          <w:i/>
        </w:rPr>
        <w:t>Die Juden in Deutschland 1933 - 1945</w:t>
      </w:r>
      <w:r w:rsidR="004038A0">
        <w:t xml:space="preserve"> </w:t>
      </w:r>
      <w:r w:rsidR="00A73253">
        <w:t>den Sachverha</w:t>
      </w:r>
      <w:r w:rsidR="00BF522F">
        <w:t>l</w:t>
      </w:r>
      <w:r w:rsidR="00A73253">
        <w:t xml:space="preserve">t </w:t>
      </w:r>
      <w:r w:rsidR="004038A0">
        <w:t>mit Klarheit und En</w:t>
      </w:r>
      <w:r w:rsidR="004038A0">
        <w:t>t</w:t>
      </w:r>
      <w:r w:rsidR="004038A0">
        <w:t>schiedenheit</w:t>
      </w:r>
      <w:r w:rsidR="00A73253">
        <w:t xml:space="preserve">: </w:t>
      </w:r>
    </w:p>
    <w:p w:rsidR="00BF522F" w:rsidRDefault="00927865" w:rsidP="00BF522F">
      <w:pPr>
        <w:spacing w:after="0"/>
        <w:ind w:left="1134"/>
        <w:jc w:val="both"/>
      </w:pPr>
      <w:r w:rsidRPr="00783486">
        <w:t xml:space="preserve">„Die deutschen Juden erschienen in der antisemitischen Agitation, aber auch in den Vorstellungen vieler Nichtjuden schlechthin als eine geschlossene Einheit, als </w:t>
      </w:r>
    </w:p>
    <w:p w:rsidR="00927865" w:rsidRDefault="00927865" w:rsidP="00BF522F">
      <w:pPr>
        <w:spacing w:after="0"/>
        <w:ind w:left="1134"/>
        <w:jc w:val="both"/>
      </w:pPr>
      <w:r w:rsidRPr="00783486">
        <w:t>homogene Bevölkerungsgruppe mit gleichen Sitten, Gebräuchen und Anschauu</w:t>
      </w:r>
      <w:r w:rsidRPr="00783486">
        <w:t>n</w:t>
      </w:r>
      <w:r w:rsidRPr="00783486">
        <w:t xml:space="preserve">gen. </w:t>
      </w:r>
      <w:r w:rsidRPr="00FA249F">
        <w:rPr>
          <w:i/>
        </w:rPr>
        <w:t>Das war in jeder Hinsicht falsch</w:t>
      </w:r>
      <w:r w:rsidRPr="00783486">
        <w:t>“</w:t>
      </w:r>
      <w:r w:rsidR="00A73253">
        <w:t>.</w:t>
      </w:r>
      <w:r w:rsidR="00A73253">
        <w:rPr>
          <w:rStyle w:val="Funotenzeichen"/>
        </w:rPr>
        <w:footnoteReference w:id="15"/>
      </w:r>
      <w:r w:rsidRPr="00783486">
        <w:t xml:space="preserve"> </w:t>
      </w:r>
    </w:p>
    <w:p w:rsidR="00BF522F" w:rsidRPr="00783486" w:rsidRDefault="004038A0" w:rsidP="00BF522F">
      <w:pPr>
        <w:spacing w:after="0"/>
        <w:jc w:val="both"/>
      </w:pPr>
      <w:r>
        <w:t>S</w:t>
      </w:r>
      <w:r w:rsidR="00E75763">
        <w:t xml:space="preserve">owohl auf religiöser als auch auf politischer Ebene </w:t>
      </w:r>
      <w:r>
        <w:t>bestanden innerhalb des deutschen J</w:t>
      </w:r>
      <w:r>
        <w:t>u</w:t>
      </w:r>
      <w:r>
        <w:t xml:space="preserve">dentums </w:t>
      </w:r>
      <w:r w:rsidR="00E75763">
        <w:t>grundlegende Differenzen</w:t>
      </w:r>
      <w:r>
        <w:t xml:space="preserve"> zwischen den unterschiedlichen Gruppierungen</w:t>
      </w:r>
      <w:r w:rsidR="00BF522F">
        <w:t>:</w:t>
      </w:r>
    </w:p>
    <w:p w:rsidR="00927865" w:rsidRPr="00783486" w:rsidRDefault="00927865" w:rsidP="00BF522F">
      <w:pPr>
        <w:spacing w:after="0"/>
        <w:ind w:left="1134"/>
        <w:jc w:val="both"/>
      </w:pPr>
      <w:r w:rsidRPr="00783486">
        <w:t>„Auf der Ebene der Religion standen liberale gegen orthodoxe Juden; auf der j</w:t>
      </w:r>
      <w:r w:rsidRPr="00783486">
        <w:t>ü</w:t>
      </w:r>
      <w:r w:rsidRPr="00783486">
        <w:t>disch-politischen Ebene stritten Juden, die Judentum als nationale Einheit und sich als Volk sa</w:t>
      </w:r>
      <w:r w:rsidR="00A516F1">
        <w:t>h</w:t>
      </w:r>
      <w:r w:rsidRPr="00783486">
        <w:t>en, gegen diejenigen, die Judentum ausschließlich als Religion</w:t>
      </w:r>
      <w:r w:rsidRPr="00783486">
        <w:t>s</w:t>
      </w:r>
      <w:r w:rsidRPr="00783486">
        <w:t xml:space="preserve">zugehörigkeit definierten und die Juden als nur durch ihre Religion miteinander verbunden </w:t>
      </w:r>
      <w:proofErr w:type="spellStart"/>
      <w:r w:rsidRPr="00783486">
        <w:t>auffaßten</w:t>
      </w:r>
      <w:proofErr w:type="spellEnd"/>
      <w:r w:rsidRPr="00783486">
        <w:t>.“</w:t>
      </w:r>
      <w:r w:rsidR="00BF522F">
        <w:rPr>
          <w:rStyle w:val="Funotenzeichen"/>
        </w:rPr>
        <w:footnoteReference w:id="16"/>
      </w:r>
    </w:p>
    <w:p w:rsidR="00927865" w:rsidRDefault="0042469F" w:rsidP="00927865">
      <w:pPr>
        <w:spacing w:after="0"/>
        <w:jc w:val="both"/>
      </w:pPr>
      <w:r>
        <w:t>Es gab – u</w:t>
      </w:r>
      <w:r w:rsidR="00A516F1">
        <w:t xml:space="preserve">m </w:t>
      </w:r>
      <w:r w:rsidR="00E75763">
        <w:t xml:space="preserve">weitere </w:t>
      </w:r>
      <w:r>
        <w:t xml:space="preserve">Konfliktebenen anzusprechen – Reformer und Orthodoxe, </w:t>
      </w:r>
      <w:r w:rsidR="00561391">
        <w:t xml:space="preserve">Zionisten und Antizionisten, </w:t>
      </w:r>
      <w:r>
        <w:t xml:space="preserve">Vertreter des Prinzips der Einheitsgemeinde und </w:t>
      </w:r>
      <w:r w:rsidR="00561391">
        <w:t xml:space="preserve">ebenso </w:t>
      </w:r>
      <w:r>
        <w:t>Gegner diese</w:t>
      </w:r>
      <w:r w:rsidR="00561391">
        <w:t>s Pri</w:t>
      </w:r>
      <w:r w:rsidR="00561391">
        <w:t>n</w:t>
      </w:r>
      <w:r w:rsidR="00561391">
        <w:t>zips</w:t>
      </w:r>
      <w:r>
        <w:t>: die sogenannte „Austritts-Orthodoxie“.</w:t>
      </w:r>
      <w:r w:rsidR="00561391">
        <w:t xml:space="preserve"> Alle Gruppen besaßen eigene Organisationsfo</w:t>
      </w:r>
      <w:r w:rsidR="00561391">
        <w:t>r</w:t>
      </w:r>
      <w:r w:rsidR="00561391">
        <w:t>men und z.T. auch e</w:t>
      </w:r>
      <w:r w:rsidR="00FA249F">
        <w:t>igen</w:t>
      </w:r>
      <w:r w:rsidR="00561391">
        <w:t xml:space="preserve">e Publikationsorgane. – </w:t>
      </w:r>
      <w:r w:rsidR="00A516F1">
        <w:t xml:space="preserve">Die dominante Richtung war sicherlich der Liberalismus. </w:t>
      </w:r>
      <w:r w:rsidR="00561391">
        <w:t xml:space="preserve">Günter </w:t>
      </w:r>
      <w:proofErr w:type="spellStart"/>
      <w:r w:rsidR="00561391">
        <w:t>Plum</w:t>
      </w:r>
      <w:proofErr w:type="spellEnd"/>
      <w:r w:rsidR="00561391">
        <w:t xml:space="preserve"> </w:t>
      </w:r>
      <w:r w:rsidR="00FA249F">
        <w:t>sagt über das Selbstverständnis der Liberalen</w:t>
      </w:r>
      <w:r w:rsidR="00A516F1">
        <w:t>:</w:t>
      </w:r>
    </w:p>
    <w:p w:rsidR="00561391" w:rsidRDefault="00561391" w:rsidP="00561391">
      <w:pPr>
        <w:spacing w:after="0"/>
        <w:ind w:left="1134"/>
        <w:jc w:val="both"/>
      </w:pPr>
      <w:r>
        <w:t>„Mit der Bestimmung des Judentums als universaler Religion hatten sich die lib</w:t>
      </w:r>
      <w:r>
        <w:t>e</w:t>
      </w:r>
      <w:r>
        <w:t>ralen Juden argumentativ von religiös-partikularen Bindungen befreit, konnten sich, von der Konfession nicht mehr behindert, als ‚deutsche Staatsbürger jüd</w:t>
      </w:r>
      <w:r>
        <w:t>i</w:t>
      </w:r>
      <w:r>
        <w:t>schen Glaubens‘ (oder eines anderen Staates) fühlen. Die damit verbundene El</w:t>
      </w:r>
      <w:r>
        <w:t>i</w:t>
      </w:r>
      <w:r>
        <w:lastRenderedPageBreak/>
        <w:t>minierung der Hoffnung auf Rückkehr nach Palästina aus dem Kultus blieb zwar Streitpunkt mit den Konservativen/Orthodoxen auf religiöser Ebene, der Gedanke hatte aber auch für diese Juden eine mehr symbolische Bedeutung angenommen, auch sie verstanden sich in ihrer Mehrheit als Deutsche.“</w:t>
      </w:r>
      <w:r w:rsidR="00A516F1" w:rsidRPr="00A516F1">
        <w:rPr>
          <w:rStyle w:val="Funotenzeichen"/>
        </w:rPr>
        <w:t xml:space="preserve"> </w:t>
      </w:r>
      <w:r w:rsidR="00A516F1">
        <w:rPr>
          <w:rStyle w:val="Funotenzeichen"/>
        </w:rPr>
        <w:footnoteReference w:id="17"/>
      </w:r>
    </w:p>
    <w:p w:rsidR="0042469F" w:rsidRDefault="00561391" w:rsidP="00927865">
      <w:pPr>
        <w:spacing w:after="0"/>
        <w:jc w:val="both"/>
      </w:pPr>
      <w:r>
        <w:t>D</w:t>
      </w:r>
      <w:r w:rsidR="00A516F1">
        <w:t>as liberale Judentum</w:t>
      </w:r>
      <w:r>
        <w:t xml:space="preserve"> wurde durch den Central-Verein deutscher Staatsbürger jüdischen Glaubens (C.V.) repräsentiert</w:t>
      </w:r>
      <w:r w:rsidR="00FA249F">
        <w:t>:</w:t>
      </w:r>
      <w:r>
        <w:t xml:space="preserve"> </w:t>
      </w:r>
    </w:p>
    <w:p w:rsidR="00561391" w:rsidRDefault="00CA29E9" w:rsidP="00CA29E9">
      <w:pPr>
        <w:spacing w:after="0"/>
        <w:ind w:left="1134"/>
        <w:jc w:val="both"/>
      </w:pPr>
      <w:r>
        <w:t xml:space="preserve">„Der Ideologie des </w:t>
      </w:r>
      <w:proofErr w:type="spellStart"/>
      <w:r>
        <w:t>Centralvereins</w:t>
      </w:r>
      <w:proofErr w:type="spellEnd"/>
      <w:r>
        <w:t xml:space="preserve"> […] zufolge sind die Juden einmal ein Volk gewesen mit ihm eigener Religion, die aber aufgrund der ihr innewohnenden un</w:t>
      </w:r>
      <w:r>
        <w:t>i</w:t>
      </w:r>
      <w:r>
        <w:t>versalen Tendenz die Schranken des Volkstums überwunden hat, indes die Juden infolge der geschichtlichen Entwicklung die Merkmale eines Staatsvolkes (g</w:t>
      </w:r>
      <w:r>
        <w:t>e</w:t>
      </w:r>
      <w:r>
        <w:t>meinsames Land, gemeinsame Sprache, gemeinsame Kultur) verloren haben. U</w:t>
      </w:r>
      <w:r>
        <w:t>n</w:t>
      </w:r>
      <w:r>
        <w:t xml:space="preserve">ter dem </w:t>
      </w:r>
      <w:proofErr w:type="spellStart"/>
      <w:r>
        <w:t>Einfluß</w:t>
      </w:r>
      <w:proofErr w:type="spellEnd"/>
      <w:r>
        <w:t xml:space="preserve"> der jeweiligen Umwelt, in der si</w:t>
      </w:r>
      <w:r w:rsidR="00A516F1">
        <w:t>e</w:t>
      </w:r>
      <w:r>
        <w:t xml:space="preserve"> lebten, hätten sie sich darüber hinaus völlig verschieden entwickelt und im Zuge der Emanzipation kulturell a</w:t>
      </w:r>
      <w:r>
        <w:t>s</w:t>
      </w:r>
      <w:r>
        <w:t>similiert. Was die Juden der Welt miteinander verbinde, sei ‚überwiegend die g</w:t>
      </w:r>
      <w:r>
        <w:t>e</w:t>
      </w:r>
      <w:r>
        <w:t>meinsame Abstammung und vor allem die gemeinsame religiöse Grundlage‘. Im Mittelpunkt der C.V.-Ideologie stand die politische Konsequenz aus der religiösen Ideenwelt des jüdischen Liberalen in Deutschland, Deutsche jüdischen Glaubens zu sein.“</w:t>
      </w:r>
      <w:r>
        <w:rPr>
          <w:rStyle w:val="Funotenzeichen"/>
        </w:rPr>
        <w:footnoteReference w:id="18"/>
      </w:r>
    </w:p>
    <w:p w:rsidR="0042469F" w:rsidRDefault="00CA29E9" w:rsidP="00927865">
      <w:pPr>
        <w:spacing w:after="0"/>
        <w:jc w:val="both"/>
      </w:pPr>
      <w:r>
        <w:t xml:space="preserve">Diese </w:t>
      </w:r>
      <w:r w:rsidR="00E75763">
        <w:t>sehr allgemein gehaltene Form</w:t>
      </w:r>
      <w:r w:rsidR="00FA249F">
        <w:t xml:space="preserve">ulierung </w:t>
      </w:r>
      <w:r w:rsidR="00E75763">
        <w:t>des religiösen wie sozialen Selbstverständnisses machte den</w:t>
      </w:r>
      <w:r>
        <w:t xml:space="preserve"> C.V. zur bei weitem mitgliederstärksten Organisation </w:t>
      </w:r>
      <w:r w:rsidR="00E75763">
        <w:t>des deutschen Judentums</w:t>
      </w:r>
      <w:r>
        <w:t>:</w:t>
      </w:r>
    </w:p>
    <w:p w:rsidR="00CA29E9" w:rsidRDefault="00CA29E9" w:rsidP="0076603A">
      <w:pPr>
        <w:spacing w:after="0"/>
        <w:ind w:left="1134"/>
        <w:jc w:val="both"/>
      </w:pPr>
      <w:r>
        <w:t>„Angesichts der religionspolitischen Neutralität fanden im C.V. Juden aller relig</w:t>
      </w:r>
      <w:r>
        <w:t>i</w:t>
      </w:r>
      <w:r>
        <w:t>ösen Schattierungen bis hin zur Indifferenz zusammen, ja für viele Juden, die sich den religiösen Richtungen nicht zugehörig fühlten, wurde die Zugehörigkeit zum Verein zu einer Art Ersatzjudentum. Mitte der 20er</w:t>
      </w:r>
      <w:r w:rsidR="003E3ADC">
        <w:t xml:space="preserve"> Jahre hatte der C.V. 60 000 Einzelmitglieder und eine Reihe korporativer Mitglieder; berücksichtigt man die mittelbaren Mitgliedschaften (Familien), so dürfte der C.V. so etwas wie der id</w:t>
      </w:r>
      <w:r w:rsidR="003E3ADC">
        <w:t>e</w:t>
      </w:r>
      <w:r w:rsidR="004E29B7">
        <w:t>e</w:t>
      </w:r>
      <w:r w:rsidR="003E3ADC">
        <w:t>lle Vertreter von weit über 100 000 deutschen Juden gewesen sein.“</w:t>
      </w:r>
      <w:r w:rsidR="003E3ADC">
        <w:rPr>
          <w:rStyle w:val="Funotenzeichen"/>
        </w:rPr>
        <w:footnoteReference w:id="19"/>
      </w:r>
    </w:p>
    <w:p w:rsidR="00CA29E9" w:rsidRDefault="00C61F6F" w:rsidP="00927865">
      <w:pPr>
        <w:spacing w:after="0"/>
        <w:jc w:val="both"/>
      </w:pPr>
      <w:r>
        <w:t xml:space="preserve">Eine </w:t>
      </w:r>
      <w:r w:rsidR="00FA249F">
        <w:t xml:space="preserve">in der Weimarer Republik </w:t>
      </w:r>
      <w:r>
        <w:t xml:space="preserve">politisch </w:t>
      </w:r>
      <w:r w:rsidR="00E75763">
        <w:t>einflussreich</w:t>
      </w:r>
      <w:r>
        <w:t xml:space="preserve">e Organisation war der C.V. </w:t>
      </w:r>
      <w:r w:rsidR="00E75763">
        <w:t>jedoch</w:t>
      </w:r>
      <w:r>
        <w:t xml:space="preserve"> nicht. Den Problemen, die sich nach dem 30. Januar 1933 ergaben, war er </w:t>
      </w:r>
      <w:r w:rsidR="00DE450F">
        <w:t>infolgedessen in keiner Weise</w:t>
      </w:r>
      <w:r>
        <w:t xml:space="preserve"> gewachsen. Der „Reichsvertretung der deutschen Juden“, die im September 1933 ins Leben gerufen wurde, ging es ähnlich.</w:t>
      </w:r>
    </w:p>
    <w:p w:rsidR="00C61F6F" w:rsidRDefault="00C61F6F" w:rsidP="00927865">
      <w:pPr>
        <w:spacing w:after="0"/>
        <w:jc w:val="both"/>
      </w:pPr>
    </w:p>
    <w:p w:rsidR="00927865" w:rsidRDefault="001C31C9" w:rsidP="00C61F6F">
      <w:pPr>
        <w:spacing w:after="0"/>
        <w:ind w:firstLine="708"/>
        <w:jc w:val="both"/>
      </w:pPr>
      <w:r>
        <w:t xml:space="preserve">Bei dem Versuch, eine Erklärung dafür zu finden, aus welchen Gründen die jüdische Bevölkerungsgruppe </w:t>
      </w:r>
      <w:r w:rsidR="00A516F1">
        <w:t xml:space="preserve">erst so spät </w:t>
      </w:r>
      <w:r>
        <w:t>die Bedrohung erkannte, die ihr durch die nationalsozialist</w:t>
      </w:r>
      <w:r>
        <w:t>i</w:t>
      </w:r>
      <w:r>
        <w:t xml:space="preserve">sche Herrschaft erwuchs, </w:t>
      </w:r>
      <w:r w:rsidR="00D8465F">
        <w:t xml:space="preserve">ist ein Blick auf die Mentalitäts- und Sozialstrukturen sinnvoll. </w:t>
      </w:r>
      <w:r w:rsidR="00927865">
        <w:t>M</w:t>
      </w:r>
      <w:r w:rsidR="00927865">
        <w:t>o</w:t>
      </w:r>
      <w:r w:rsidR="00927865">
        <w:t xml:space="preserve">nika </w:t>
      </w:r>
      <w:proofErr w:type="spellStart"/>
      <w:r w:rsidR="00927865">
        <w:t>Richarz</w:t>
      </w:r>
      <w:proofErr w:type="spellEnd"/>
      <w:r w:rsidR="00AC36F2">
        <w:t>, die langjährige Leiterin des Instituts für die Geschichte der deutschen Juden in Hamburg,</w:t>
      </w:r>
      <w:r w:rsidR="00927865">
        <w:t xml:space="preserve"> </w:t>
      </w:r>
      <w:r w:rsidR="00D8465F">
        <w:t>lenkt d</w:t>
      </w:r>
      <w:r w:rsidR="00AC36F2">
        <w:t>eshalb</w:t>
      </w:r>
      <w:r w:rsidR="00D8465F">
        <w:t xml:space="preserve"> die Aufmerksamkeit auf die Merkmale, die jüdische Bevölkerung</w:t>
      </w:r>
      <w:r w:rsidR="00D8465F">
        <w:t>s</w:t>
      </w:r>
      <w:r w:rsidR="00D8465F">
        <w:t>gruppe nach wie vor von der Gesamtgesellschaft unterschieden</w:t>
      </w:r>
      <w:r>
        <w:t>:</w:t>
      </w:r>
    </w:p>
    <w:p w:rsidR="00927865" w:rsidRPr="00412E26" w:rsidRDefault="00927865" w:rsidP="001C31C9">
      <w:pPr>
        <w:spacing w:after="0"/>
        <w:ind w:left="1134"/>
        <w:jc w:val="both"/>
      </w:pPr>
      <w:r w:rsidRPr="00412E26">
        <w:t>„Obgleich die deutschen Juden in kultureller und staatsbürgerlicher Hinsicht vol</w:t>
      </w:r>
      <w:r w:rsidRPr="00412E26">
        <w:t>l</w:t>
      </w:r>
      <w:r w:rsidRPr="00412E26">
        <w:t xml:space="preserve">ständig integriert waren, bildeten sie in der Gesellschaft der Weimarer Republik eine noch immer deutlich erkennbare Sozialgruppe. Diese unterschied sich von der übrigen Bevölkerung durch die primären Merkmale Religion, Tradition und </w:t>
      </w:r>
      <w:r w:rsidRPr="00412E26">
        <w:lastRenderedPageBreak/>
        <w:t>Abstammung und durch erworbene sekundäre Sozialmerkmale, wie Sozialschic</w:t>
      </w:r>
      <w:r w:rsidRPr="00412E26">
        <w:t>h</w:t>
      </w:r>
      <w:r w:rsidRPr="00412E26">
        <w:t>tung, Berufsstruktur und demographisches Verhalten.“</w:t>
      </w:r>
      <w:r w:rsidR="001C31C9">
        <w:rPr>
          <w:rStyle w:val="Funotenzeichen"/>
        </w:rPr>
        <w:footnoteReference w:id="20"/>
      </w:r>
      <w:r w:rsidRPr="00412E26">
        <w:t xml:space="preserve"> </w:t>
      </w:r>
    </w:p>
    <w:p w:rsidR="00927865" w:rsidRPr="00412E26" w:rsidRDefault="001C31C9" w:rsidP="00927865">
      <w:pPr>
        <w:spacing w:after="0"/>
        <w:jc w:val="both"/>
      </w:pPr>
      <w:r>
        <w:t xml:space="preserve">Monika </w:t>
      </w:r>
      <w:proofErr w:type="spellStart"/>
      <w:r>
        <w:t>Richarz</w:t>
      </w:r>
      <w:proofErr w:type="spellEnd"/>
      <w:r>
        <w:t xml:space="preserve"> </w:t>
      </w:r>
      <w:r w:rsidR="00D8465F">
        <w:t xml:space="preserve">richtet ihre Aufmerksamkeit </w:t>
      </w:r>
      <w:r w:rsidR="00AC36F2">
        <w:t>speziell</w:t>
      </w:r>
      <w:r>
        <w:t xml:space="preserve"> auf die Binnenkontakte </w:t>
      </w:r>
      <w:r w:rsidR="00D8465F">
        <w:t xml:space="preserve">auch innerhalb der Teilgruppen wie </w:t>
      </w:r>
      <w:r>
        <w:t>zwischen Juden und Nichtjuden</w:t>
      </w:r>
      <w:r w:rsidR="00D8465F">
        <w:t xml:space="preserve">. Hier zeichnen sich </w:t>
      </w:r>
      <w:r w:rsidR="00AC36F2">
        <w:t xml:space="preserve">nach ihrem Urteil </w:t>
      </w:r>
      <w:r w:rsidR="00D8465F">
        <w:t xml:space="preserve">deutliche Unterschiede ab, die sich selbstverständlich auch auf das soziale Verhalten </w:t>
      </w:r>
      <w:r w:rsidR="00335B8D">
        <w:t>auswir</w:t>
      </w:r>
      <w:r w:rsidR="00335B8D">
        <w:t>k</w:t>
      </w:r>
      <w:r w:rsidR="00335B8D">
        <w:t>ten wie auf die Binnenverständigung innerhalb der jüdischen Gesellschaft</w:t>
      </w:r>
      <w:r w:rsidR="00CB520E">
        <w:t>:</w:t>
      </w:r>
    </w:p>
    <w:p w:rsidR="00927865" w:rsidRPr="00412E26" w:rsidRDefault="00927865" w:rsidP="00CB520E">
      <w:pPr>
        <w:spacing w:after="0"/>
        <w:ind w:left="1134"/>
        <w:jc w:val="both"/>
      </w:pPr>
      <w:r w:rsidRPr="00412E26">
        <w:t xml:space="preserve">„Den häufigsten Kontakt mit Nichtjuden hatten traditionell die Mitglieder der vermögenden Oberschicht […], ferner die jüdischen Sozialisten, die das Judentum oft ganz </w:t>
      </w:r>
      <w:proofErr w:type="spellStart"/>
      <w:r w:rsidRPr="00412E26">
        <w:t>aufgaben</w:t>
      </w:r>
      <w:proofErr w:type="spellEnd"/>
      <w:r w:rsidRPr="00412E26">
        <w:t xml:space="preserve"> und aus den Gemeinden austraten, und schließlich als jüngste Gruppe die Mitglieder der jüdischen Restgemeinden auf dem Lande. Die meisten dieser Juden waren dem Judentum stark entfremdet, und viele gingen Mischehen ein. Die Binnenkontakte mit Juden dominierten sicherlich bei den neu eingewa</w:t>
      </w:r>
      <w:r w:rsidRPr="00412E26">
        <w:t>n</w:t>
      </w:r>
      <w:r w:rsidRPr="00412E26">
        <w:t>derten Ostjuden, die aus einer stärker nationaljüdisch geprägten Kultur kamen, bei orthodoxen Juden, die durch ihr Leben nach dem jüdischen Gesetz auch von den übrigen Juden sozial abgesetzt waren, und bei den aktiven Zionisten, die über e</w:t>
      </w:r>
      <w:r w:rsidRPr="00412E26">
        <w:t>i</w:t>
      </w:r>
      <w:r w:rsidRPr="00412E26">
        <w:t>gene Organisationen verfügten und […] nicht einmal private Kontakte zu nichtz</w:t>
      </w:r>
      <w:r w:rsidRPr="00412E26">
        <w:t>i</w:t>
      </w:r>
      <w:r w:rsidRPr="00412E26">
        <w:t>onistischen Juden unterhielten.“</w:t>
      </w:r>
      <w:r w:rsidR="00CB520E">
        <w:rPr>
          <w:rStyle w:val="Funotenzeichen"/>
        </w:rPr>
        <w:footnoteReference w:id="21"/>
      </w:r>
    </w:p>
    <w:p w:rsidR="00927865" w:rsidRDefault="00AC36F2" w:rsidP="00335B8D">
      <w:pPr>
        <w:spacing w:after="0"/>
        <w:jc w:val="both"/>
      </w:pPr>
      <w:r>
        <w:t>A</w:t>
      </w:r>
      <w:r w:rsidR="00CB520E">
        <w:t xml:space="preserve">ufgrund dieses Befundes </w:t>
      </w:r>
      <w:r>
        <w:t xml:space="preserve">gelangt Monika </w:t>
      </w:r>
      <w:proofErr w:type="spellStart"/>
      <w:r>
        <w:t>Richarz</w:t>
      </w:r>
      <w:proofErr w:type="spellEnd"/>
      <w:r>
        <w:t xml:space="preserve"> </w:t>
      </w:r>
      <w:r w:rsidR="00CB520E">
        <w:t>zu klaren Feststellungen</w:t>
      </w:r>
      <w:r w:rsidR="00335B8D">
        <w:t xml:space="preserve">. </w:t>
      </w:r>
      <w:r>
        <w:t>Die</w:t>
      </w:r>
      <w:r w:rsidR="00335B8D">
        <w:t xml:space="preserve"> sozialist</w:t>
      </w:r>
      <w:r w:rsidR="00335B8D">
        <w:t>i</w:t>
      </w:r>
      <w:r w:rsidR="00335B8D">
        <w:t>schen jüdischen Milieus</w:t>
      </w:r>
      <w:r>
        <w:t xml:space="preserve"> reagierten auf die Gefahr, die vom Nationalsozialismus ausging schneller und mit größerer Wachheit</w:t>
      </w:r>
      <w:r w:rsidR="00CB520E">
        <w:t>:</w:t>
      </w:r>
    </w:p>
    <w:p w:rsidR="00927865" w:rsidRDefault="00927865" w:rsidP="00CB520E">
      <w:pPr>
        <w:spacing w:after="0"/>
        <w:ind w:left="1134"/>
        <w:jc w:val="both"/>
      </w:pPr>
      <w:r w:rsidRPr="00412E26">
        <w:t>„Eine wesentliche Rolle bei der Einschätzung der Gefahr des Nationalsozialismus spielte am Anfang die politische Orientierung der einzelnen Juden. Die Sozialisten und Kommunisten jüdischer Herkunft waren sich sofort ihrer besonderen Bedr</w:t>
      </w:r>
      <w:r w:rsidRPr="00412E26">
        <w:t>o</w:t>
      </w:r>
      <w:r w:rsidRPr="00412E26">
        <w:t xml:space="preserve">hung </w:t>
      </w:r>
      <w:proofErr w:type="spellStart"/>
      <w:r w:rsidRPr="00412E26">
        <w:t>bewußt</w:t>
      </w:r>
      <w:proofErr w:type="spellEnd"/>
      <w:r w:rsidRPr="00412E26">
        <w:t>.“</w:t>
      </w:r>
      <w:r w:rsidR="00CB520E">
        <w:rPr>
          <w:rStyle w:val="Funotenzeichen"/>
        </w:rPr>
        <w:footnoteReference w:id="22"/>
      </w:r>
      <w:r w:rsidRPr="00412E26">
        <w:t xml:space="preserve"> </w:t>
      </w:r>
    </w:p>
    <w:p w:rsidR="0049488A" w:rsidRDefault="004F012B" w:rsidP="0049488A">
      <w:pPr>
        <w:spacing w:after="0"/>
        <w:jc w:val="both"/>
      </w:pPr>
      <w:r>
        <w:t xml:space="preserve">Völlig gegensätzlich </w:t>
      </w:r>
      <w:r w:rsidR="00AC36F2">
        <w:t>reagierten die</w:t>
      </w:r>
      <w:r w:rsidR="0049488A">
        <w:t xml:space="preserve"> konservativen </w:t>
      </w:r>
      <w:r w:rsidR="00AC36F2">
        <w:t xml:space="preserve">jüdischen </w:t>
      </w:r>
      <w:r w:rsidR="0049488A">
        <w:t>Milieus:</w:t>
      </w:r>
    </w:p>
    <w:p w:rsidR="0049488A" w:rsidRDefault="0049488A" w:rsidP="0049488A">
      <w:pPr>
        <w:spacing w:after="0"/>
        <w:ind w:left="1134"/>
        <w:jc w:val="both"/>
      </w:pPr>
      <w:r w:rsidRPr="00596254">
        <w:t>„Die politisch konservativen jüdischen Organisationen reagierten 1933 auf den Nationalsozialismus, indem sie sich ihm ideologisch weiter anzunähern versuc</w:t>
      </w:r>
      <w:r w:rsidRPr="00596254">
        <w:t>h</w:t>
      </w:r>
      <w:r w:rsidRPr="00596254">
        <w:t>ten. Der Verband nationaldeutscher Juden und der Reichsbund jüdischer Frontso</w:t>
      </w:r>
      <w:r w:rsidRPr="00596254">
        <w:t>l</w:t>
      </w:r>
      <w:r w:rsidRPr="00596254">
        <w:t>daten wendeten sich in nie beantworteten Eingaben an die neue Regierung und b</w:t>
      </w:r>
      <w:r w:rsidRPr="00596254">
        <w:t>e</w:t>
      </w:r>
      <w:r w:rsidRPr="00596254">
        <w:t>tonten ihre deutsche Gesinnung, grenzten sich von den Ostjuden entschieden ab, bejahten das Führerprinzip und boten ihre Mitarbeit an.“</w:t>
      </w:r>
      <w:r>
        <w:rPr>
          <w:rStyle w:val="Funotenzeichen"/>
        </w:rPr>
        <w:footnoteReference w:id="23"/>
      </w:r>
    </w:p>
    <w:p w:rsidR="0049488A" w:rsidRPr="00596254" w:rsidRDefault="0049488A" w:rsidP="0049488A">
      <w:pPr>
        <w:spacing w:after="0"/>
        <w:jc w:val="both"/>
      </w:pPr>
      <w:r>
        <w:t xml:space="preserve">Monika </w:t>
      </w:r>
      <w:proofErr w:type="spellStart"/>
      <w:r>
        <w:t>Richarz</w:t>
      </w:r>
      <w:proofErr w:type="spellEnd"/>
      <w:r>
        <w:t xml:space="preserve"> zieht aus dieser Beobachtung </w:t>
      </w:r>
      <w:r w:rsidR="004F012B">
        <w:t>ein deutliches</w:t>
      </w:r>
      <w:r>
        <w:t xml:space="preserve"> Fazit:</w:t>
      </w:r>
    </w:p>
    <w:p w:rsidR="0049488A" w:rsidRPr="00596254" w:rsidRDefault="0049488A" w:rsidP="0049488A">
      <w:pPr>
        <w:spacing w:after="0"/>
        <w:ind w:left="1134"/>
        <w:jc w:val="both"/>
      </w:pPr>
      <w:r w:rsidRPr="00596254">
        <w:t xml:space="preserve">„Je politisch konservativer der einzelne Jude war, desto später bemerkte er im </w:t>
      </w:r>
      <w:proofErr w:type="gramStart"/>
      <w:r w:rsidRPr="00596254">
        <w:t>al</w:t>
      </w:r>
      <w:r w:rsidRPr="00596254">
        <w:t>l</w:t>
      </w:r>
      <w:r w:rsidRPr="00596254">
        <w:t>gemeinen</w:t>
      </w:r>
      <w:proofErr w:type="gramEnd"/>
      <w:r w:rsidRPr="00596254">
        <w:t xml:space="preserve"> die Gefahr, die von der nationalsozialistischen Politik für ihn persönlich ausging, weil gemeinsame Grundauffassungen antidemokratischen Denkens ihn über die zentrale Funktion des Antisemitismus in der NS-Ideologie hinwegsehen ließen.“</w:t>
      </w:r>
      <w:r>
        <w:rPr>
          <w:rStyle w:val="Funotenzeichen"/>
        </w:rPr>
        <w:footnoteReference w:id="24"/>
      </w:r>
      <w:r w:rsidRPr="00596254">
        <w:t xml:space="preserve"> </w:t>
      </w:r>
    </w:p>
    <w:p w:rsidR="00CB520E" w:rsidRDefault="00CB520E" w:rsidP="00927865">
      <w:pPr>
        <w:spacing w:after="0"/>
        <w:jc w:val="both"/>
      </w:pPr>
      <w:r>
        <w:t xml:space="preserve">In Bezug auf den </w:t>
      </w:r>
      <w:r w:rsidR="00927865" w:rsidRPr="00CB520E">
        <w:t>Reichsbund jüdischer Frontsoldaten</w:t>
      </w:r>
      <w:r>
        <w:t xml:space="preserve"> (RJF) gelangt sie zu dem Urteil:</w:t>
      </w:r>
      <w:r w:rsidR="00927865" w:rsidRPr="005A03AF">
        <w:t xml:space="preserve"> </w:t>
      </w:r>
    </w:p>
    <w:p w:rsidR="00927865" w:rsidRPr="005A03AF" w:rsidRDefault="00927865" w:rsidP="00CB520E">
      <w:pPr>
        <w:spacing w:after="0"/>
        <w:ind w:left="1134"/>
        <w:jc w:val="both"/>
      </w:pPr>
      <w:r w:rsidRPr="005A03AF">
        <w:lastRenderedPageBreak/>
        <w:t>„Die Hochschätzung des Soldatentums durch die Nationalsozialisten hatte im RJF die Illusion genährt, jüdische Frontsoldaten könnten in diese Hochschätzung ei</w:t>
      </w:r>
      <w:r w:rsidRPr="005A03AF">
        <w:t>n</w:t>
      </w:r>
      <w:r w:rsidRPr="005A03AF">
        <w:t>geschlossen sein. Die Ausnahmeregelungen im Gesetz zur Wiederherstellung des Berufsbeamtentums schienen die Auffassung zu bestätigen.“</w:t>
      </w:r>
      <w:r w:rsidR="00CB520E">
        <w:rPr>
          <w:rStyle w:val="Funotenzeichen"/>
        </w:rPr>
        <w:footnoteReference w:id="25"/>
      </w:r>
      <w:r w:rsidRPr="005A03AF">
        <w:t xml:space="preserve"> </w:t>
      </w:r>
    </w:p>
    <w:p w:rsidR="00536871" w:rsidRDefault="004F012B" w:rsidP="00927865">
      <w:pPr>
        <w:spacing w:after="0"/>
        <w:jc w:val="both"/>
      </w:pPr>
      <w:r>
        <w:t>E</w:t>
      </w:r>
      <w:r w:rsidR="00CB520E">
        <w:t xml:space="preserve">s </w:t>
      </w:r>
      <w:r>
        <w:t>waren</w:t>
      </w:r>
      <w:r w:rsidRPr="00CB520E">
        <w:t xml:space="preserve"> </w:t>
      </w:r>
      <w:r>
        <w:t xml:space="preserve">insbesondere </w:t>
      </w:r>
      <w:r w:rsidR="00927865" w:rsidRPr="00CB520E">
        <w:t>Ausnahmeregelungen wie de</w:t>
      </w:r>
      <w:r w:rsidR="00CB520E">
        <w:t>r</w:t>
      </w:r>
      <w:r w:rsidR="00927865" w:rsidRPr="00CB520E">
        <w:t xml:space="preserve"> „Frontkämpferparagraf“</w:t>
      </w:r>
      <w:r>
        <w:rPr>
          <w:rStyle w:val="Funotenzeichen"/>
        </w:rPr>
        <w:footnoteReference w:id="26"/>
      </w:r>
      <w:r w:rsidR="00CB520E">
        <w:t>, die Desor</w:t>
      </w:r>
      <w:r w:rsidR="00CB520E">
        <w:t>i</w:t>
      </w:r>
      <w:r w:rsidR="00CB520E">
        <w:t>ent</w:t>
      </w:r>
      <w:r w:rsidR="00014F89">
        <w:t>ier</w:t>
      </w:r>
      <w:r w:rsidR="00CB520E">
        <w:t xml:space="preserve">ung zur </w:t>
      </w:r>
      <w:r w:rsidR="00536871">
        <w:t>Folge hatten</w:t>
      </w:r>
      <w:r w:rsidR="00927865" w:rsidRPr="00CB520E">
        <w:t>:</w:t>
      </w:r>
      <w:r w:rsidR="00927865" w:rsidRPr="00412E26">
        <w:t xml:space="preserve"> </w:t>
      </w:r>
    </w:p>
    <w:p w:rsidR="00927865" w:rsidRPr="00412E26" w:rsidRDefault="00536871" w:rsidP="00536871">
      <w:pPr>
        <w:spacing w:after="0"/>
        <w:ind w:left="1134"/>
        <w:jc w:val="both"/>
      </w:pPr>
      <w:r>
        <w:t>„</w:t>
      </w:r>
      <w:r w:rsidR="00927865" w:rsidRPr="00412E26">
        <w:t>Diese Privilegierung hatte eine zwiespältige Wirkung, denn sie schuf Juden zweierlei Rechts und bestärkte gerade älteren und betont patriotisch gesinnten J</w:t>
      </w:r>
      <w:r w:rsidR="00927865" w:rsidRPr="00412E26">
        <w:t>u</w:t>
      </w:r>
      <w:r w:rsidR="00927865" w:rsidRPr="00412E26">
        <w:t xml:space="preserve">den in der Annahme, </w:t>
      </w:r>
      <w:proofErr w:type="spellStart"/>
      <w:r w:rsidR="00927865" w:rsidRPr="00412E26">
        <w:t>daß</w:t>
      </w:r>
      <w:proofErr w:type="spellEnd"/>
      <w:r w:rsidR="00927865" w:rsidRPr="00412E26">
        <w:t xml:space="preserve"> der neue Staat ihre Verdienste anerkenne und ihnen ke</w:t>
      </w:r>
      <w:r w:rsidR="00927865" w:rsidRPr="00412E26">
        <w:t>i</w:t>
      </w:r>
      <w:r w:rsidR="00927865" w:rsidRPr="00412E26">
        <w:t>ne Gefahr drohe. Viele der jüngeren Akademiker entschlossen sich dagegen schon jetzt zur Auswanderung.“</w:t>
      </w:r>
      <w:r>
        <w:rPr>
          <w:rStyle w:val="Funotenzeichen"/>
        </w:rPr>
        <w:footnoteReference w:id="27"/>
      </w:r>
      <w:r w:rsidR="00927865" w:rsidRPr="00412E26">
        <w:t xml:space="preserve"> </w:t>
      </w:r>
    </w:p>
    <w:p w:rsidR="00927865" w:rsidRPr="00412E26" w:rsidRDefault="00536871" w:rsidP="00927865">
      <w:pPr>
        <w:spacing w:after="0"/>
        <w:jc w:val="both"/>
      </w:pPr>
      <w:r>
        <w:t xml:space="preserve">Die jüdische Bevölkerungsgruppe wurde </w:t>
      </w:r>
      <w:r w:rsidR="004F012B">
        <w:t>darüber hinaus auch</w:t>
      </w:r>
      <w:r>
        <w:t xml:space="preserve"> in unterschiedlicher Weise von den beruflichen und wirtschaftlichen Boykottmaßnahmen getroffen. Auch dieses Faktum ha</w:t>
      </w:r>
      <w:r>
        <w:t>t</w:t>
      </w:r>
      <w:r>
        <w:t>te zur Folge, dass die Gefahren unterschiedlich beurteilt wurden:</w:t>
      </w:r>
    </w:p>
    <w:p w:rsidR="00927865" w:rsidRPr="00412E26" w:rsidRDefault="00927865" w:rsidP="00536871">
      <w:pPr>
        <w:spacing w:after="0"/>
        <w:ind w:left="1134"/>
        <w:jc w:val="both"/>
      </w:pPr>
      <w:r w:rsidRPr="00412E26">
        <w:t xml:space="preserve">„Fast die Hälfte aller Juden waren Selbständige, die in Handel und Industrie </w:t>
      </w:r>
      <w:r w:rsidRPr="004F012B">
        <w:rPr>
          <w:i/>
        </w:rPr>
        <w:t xml:space="preserve">nicht </w:t>
      </w:r>
      <w:r w:rsidRPr="00412E26">
        <w:t>von Berufsverboten betroffen wurden, wenn auch ihr Umsatz durch lokale Bo</w:t>
      </w:r>
      <w:r w:rsidRPr="00412E26">
        <w:t>y</w:t>
      </w:r>
      <w:r w:rsidRPr="00412E26">
        <w:t>kotte zurückging.“</w:t>
      </w:r>
      <w:r w:rsidR="00536871">
        <w:rPr>
          <w:rStyle w:val="Funotenzeichen"/>
        </w:rPr>
        <w:footnoteReference w:id="28"/>
      </w:r>
      <w:r w:rsidRPr="00412E26">
        <w:t xml:space="preserve"> </w:t>
      </w:r>
    </w:p>
    <w:p w:rsidR="00536871" w:rsidRDefault="00335B8D" w:rsidP="00927865">
      <w:pPr>
        <w:spacing w:after="0"/>
        <w:jc w:val="both"/>
      </w:pPr>
      <w:r>
        <w:t xml:space="preserve">In Hinblick auf die Dominanz des Konservativismus </w:t>
      </w:r>
      <w:r w:rsidR="00536871">
        <w:t xml:space="preserve">misst </w:t>
      </w:r>
      <w:r w:rsidR="00B36386">
        <w:t xml:space="preserve">Günter </w:t>
      </w:r>
      <w:proofErr w:type="spellStart"/>
      <w:r w:rsidR="00B36386">
        <w:t>Plum</w:t>
      </w:r>
      <w:proofErr w:type="spellEnd"/>
      <w:r w:rsidR="00536871">
        <w:t xml:space="preserve"> dem Einfluss der </w:t>
      </w:r>
      <w:r w:rsidR="00927865" w:rsidRPr="00536871">
        <w:t>Berliner Gemeinde</w:t>
      </w:r>
      <w:r w:rsidR="00536871">
        <w:t xml:space="preserve"> auf die Gesamtvertretung der deutschen Juden </w:t>
      </w:r>
      <w:r>
        <w:t xml:space="preserve">eine bedeutende Rolle </w:t>
      </w:r>
      <w:r w:rsidR="00536871">
        <w:t>zu. Hier</w:t>
      </w:r>
      <w:r w:rsidR="004F012B">
        <w:t>, im Zentrum des Liberalismus,</w:t>
      </w:r>
      <w:r w:rsidR="00536871">
        <w:t xml:space="preserve"> dominierte eine deutsch-konservative Grundeinstellung</w:t>
      </w:r>
      <w:r w:rsidR="00927865" w:rsidRPr="00536871">
        <w:t>:</w:t>
      </w:r>
      <w:r w:rsidR="00927865" w:rsidRPr="005A03AF">
        <w:t xml:space="preserve"> </w:t>
      </w:r>
    </w:p>
    <w:p w:rsidR="00927865" w:rsidRPr="005A03AF" w:rsidRDefault="00927865" w:rsidP="00536871">
      <w:pPr>
        <w:spacing w:after="0"/>
        <w:ind w:left="1134"/>
        <w:jc w:val="both"/>
      </w:pPr>
      <w:r w:rsidRPr="005A03AF">
        <w:t xml:space="preserve">„In der jüdischen Gemeinde Berlin gab es einen quantitativ nicht abschätzbaren Kreis von Liberalen, der sehr radikal die Auffassung von der Zugehörigkeit der jüdischen Deutschen zur deutschen ‚Volksgemeinschaft‘, mindestens aber die Verbundenheit mit ihr, vertrat. Sein Gewicht bezog der Kreis daraus, </w:t>
      </w:r>
      <w:proofErr w:type="spellStart"/>
      <w:r w:rsidRPr="005A03AF">
        <w:t>daß</w:t>
      </w:r>
      <w:proofErr w:type="spellEnd"/>
      <w:r w:rsidRPr="005A03AF">
        <w:t xml:space="preserve"> vier bis fünf seiner Anhänger dem Vorstand der Gemeinde angehörten, darunter Heinrich Stahl und insbesondere Bruno </w:t>
      </w:r>
      <w:proofErr w:type="spellStart"/>
      <w:r w:rsidRPr="005A03AF">
        <w:t>Woyda</w:t>
      </w:r>
      <w:proofErr w:type="spellEnd"/>
      <w:r w:rsidRPr="005A03AF">
        <w:t xml:space="preserve"> und Moritz Rosenthal; weitere Anhänger waren Mitglieder der </w:t>
      </w:r>
      <w:proofErr w:type="spellStart"/>
      <w:r w:rsidRPr="005A03AF">
        <w:t>Repräsentantenversammlung</w:t>
      </w:r>
      <w:proofErr w:type="spellEnd"/>
      <w:r w:rsidRPr="005A03AF">
        <w:t>.“</w:t>
      </w:r>
      <w:r w:rsidR="00536871">
        <w:rPr>
          <w:rStyle w:val="Funotenzeichen"/>
        </w:rPr>
        <w:footnoteReference w:id="29"/>
      </w:r>
      <w:r w:rsidRPr="005A03AF">
        <w:t xml:space="preserve"> </w:t>
      </w:r>
    </w:p>
    <w:p w:rsidR="00927865" w:rsidRPr="00536871" w:rsidRDefault="00536871" w:rsidP="00927865">
      <w:pPr>
        <w:spacing w:after="0"/>
        <w:jc w:val="both"/>
      </w:pPr>
      <w:r w:rsidRPr="00536871">
        <w:t>Fa</w:t>
      </w:r>
      <w:r>
        <w:t>talerweise trug offenbar auch die zeitweilige Annäherung von Zionisten und Nicht-Zionisten zu einer falschen Beurteilung der Situation bei:</w:t>
      </w:r>
    </w:p>
    <w:p w:rsidR="00536871" w:rsidRDefault="00927865" w:rsidP="008C12BF">
      <w:pPr>
        <w:spacing w:after="0"/>
        <w:ind w:left="1134"/>
        <w:jc w:val="both"/>
      </w:pPr>
      <w:r w:rsidRPr="005A03AF">
        <w:t>„Doch ist von zionistischer Seite – mindestens im Kreis um die ‚Jüdische Run</w:t>
      </w:r>
      <w:r w:rsidRPr="005A03AF">
        <w:t>d</w:t>
      </w:r>
      <w:r w:rsidRPr="005A03AF">
        <w:t xml:space="preserve">schau‘ – die </w:t>
      </w:r>
      <w:proofErr w:type="spellStart"/>
      <w:r w:rsidRPr="005A03AF">
        <w:t>Blumenfeldsche</w:t>
      </w:r>
      <w:proofErr w:type="spellEnd"/>
      <w:r w:rsidRPr="005A03AF">
        <w:t xml:space="preserve"> These von der Wurzellosigkeit der Juden in Deutschland erkennbar aufgegeben worden: ‚Ja-Sagen zum Judentum‘ bedeute nicht ‚Nein-Sagen zum Deutschtum‘, bedeute nicht die Empfehlung, sich vom Deutschtum zu trennen.“</w:t>
      </w:r>
      <w:r w:rsidR="008C12BF">
        <w:rPr>
          <w:rStyle w:val="Funotenzeichen"/>
        </w:rPr>
        <w:footnoteReference w:id="30"/>
      </w:r>
      <w:r w:rsidRPr="005A03AF">
        <w:t xml:space="preserve"> </w:t>
      </w:r>
    </w:p>
    <w:p w:rsidR="00536871" w:rsidRDefault="008C12BF" w:rsidP="00927865">
      <w:pPr>
        <w:spacing w:after="0"/>
        <w:jc w:val="both"/>
      </w:pPr>
      <w:r>
        <w:t>Die Folge war, dass die beiden gegensätzlichen Handlungsmaximen: Verbleib oder Emigrat</w:t>
      </w:r>
      <w:r>
        <w:t>i</w:t>
      </w:r>
      <w:r>
        <w:t xml:space="preserve">on, von nun an nicht mehr als </w:t>
      </w:r>
      <w:r w:rsidR="00335B8D">
        <w:t xml:space="preserve">sich </w:t>
      </w:r>
      <w:r>
        <w:t>einander ausschließend verstanden wurden:</w:t>
      </w:r>
    </w:p>
    <w:p w:rsidR="00927865" w:rsidRPr="005A03AF" w:rsidRDefault="00927865" w:rsidP="008C12BF">
      <w:pPr>
        <w:spacing w:after="0"/>
        <w:ind w:left="1134"/>
        <w:jc w:val="both"/>
      </w:pPr>
      <w:r w:rsidRPr="005A03AF">
        <w:t xml:space="preserve">„So galt Auswanderung den einen nicht mehr als Verrat am Deutschtum, Bleiben und </w:t>
      </w:r>
      <w:proofErr w:type="spellStart"/>
      <w:r w:rsidRPr="005A03AF">
        <w:t>Positionenhalten</w:t>
      </w:r>
      <w:proofErr w:type="spellEnd"/>
      <w:r w:rsidRPr="005A03AF">
        <w:t xml:space="preserve"> den anderen nicht als Verrat am Zionismus.“</w:t>
      </w:r>
      <w:r w:rsidR="008C12BF">
        <w:rPr>
          <w:rStyle w:val="Funotenzeichen"/>
        </w:rPr>
        <w:footnoteReference w:id="31"/>
      </w:r>
    </w:p>
    <w:p w:rsidR="00927865" w:rsidRPr="00412E26" w:rsidRDefault="008C12BF" w:rsidP="00927865">
      <w:pPr>
        <w:spacing w:after="0"/>
        <w:jc w:val="both"/>
      </w:pPr>
      <w:r>
        <w:lastRenderedPageBreak/>
        <w:t>In der Krise gewann die zionistische Position immer stärker an Bedeutung. Die Folge war jedoch nur zum Teil eine verstärkte Palästina-Auswanderung – was ohnehin aufgrund der britischen Mandatspolitik schwierig war –, sondern</w:t>
      </w:r>
      <w:r w:rsidR="00B36386">
        <w:t xml:space="preserve">, wie Monika </w:t>
      </w:r>
      <w:proofErr w:type="spellStart"/>
      <w:r w:rsidR="00B36386">
        <w:t>Richarz</w:t>
      </w:r>
      <w:proofErr w:type="spellEnd"/>
      <w:r w:rsidR="00B36386">
        <w:t xml:space="preserve"> hervorhebt,</w:t>
      </w:r>
      <w:r>
        <w:t xml:space="preserve"> auch eine Tendenz, die </w:t>
      </w:r>
      <w:r w:rsidR="004F012B">
        <w:t xml:space="preserve">durch die Rassenpolitik erzwungene </w:t>
      </w:r>
      <w:r>
        <w:t xml:space="preserve">Segregation </w:t>
      </w:r>
      <w:r w:rsidR="00B36386">
        <w:t xml:space="preserve">im Sinne der Religion </w:t>
      </w:r>
      <w:r>
        <w:t xml:space="preserve">als Teil des </w:t>
      </w:r>
      <w:r w:rsidR="00014F89">
        <w:t xml:space="preserve">traditionellen </w:t>
      </w:r>
      <w:r>
        <w:t xml:space="preserve">„jüdischen Schicksals“ </w:t>
      </w:r>
      <w:r w:rsidR="00B36386">
        <w:t>zu verstehen:</w:t>
      </w:r>
    </w:p>
    <w:p w:rsidR="00927865" w:rsidRPr="00412E26" w:rsidRDefault="00927865" w:rsidP="00B36386">
      <w:pPr>
        <w:spacing w:after="0"/>
        <w:ind w:left="1134"/>
        <w:jc w:val="both"/>
      </w:pPr>
      <w:r w:rsidRPr="00412E26">
        <w:t>„Verbunden mit der Besinnung auf die jüdische Identität war oft die Hinwendung zum Zionismus. […] Die zionistische Lehre ermöglichte es, Diskriminierung und Segregation leichter zu ertragen, denn sie erklärte diese als typischen Bestandteil der Diasporageschichte und setzte die Idee der jüdischen Nation und das Ziel der Staatsgründung dagegen. So erleichterte der Zionismus seinen Anhängern die s</w:t>
      </w:r>
      <w:r w:rsidRPr="00412E26">
        <w:t>o</w:t>
      </w:r>
      <w:r w:rsidRPr="00412E26">
        <w:t>ziale und kulturelle Ablösung von Deutschland und gab ihnen eine neue Ident</w:t>
      </w:r>
      <w:r w:rsidRPr="00412E26">
        <w:t>i</w:t>
      </w:r>
      <w:r w:rsidRPr="00412E26">
        <w:t>tät.“</w:t>
      </w:r>
      <w:r w:rsidR="00B36386">
        <w:rPr>
          <w:rStyle w:val="Funotenzeichen"/>
        </w:rPr>
        <w:footnoteReference w:id="32"/>
      </w:r>
      <w:r w:rsidRPr="00412E26">
        <w:t xml:space="preserve"> </w:t>
      </w:r>
    </w:p>
    <w:p w:rsidR="00B36386" w:rsidRDefault="0049488A" w:rsidP="00927865">
      <w:pPr>
        <w:spacing w:after="0"/>
        <w:jc w:val="both"/>
      </w:pPr>
      <w:r>
        <w:t>Unter diesen Umständen bedeutete auch die Gründung der „Reichsvertretung der deutschen Juden“ im September 1933 noch keinen wirklichen Fortschritt. Hier stand nicht der Wide</w:t>
      </w:r>
      <w:r>
        <w:t>r</w:t>
      </w:r>
      <w:r>
        <w:t>stand, sondern es standen Selbstbehauptung und Fürsorge im Vordergrund:</w:t>
      </w:r>
    </w:p>
    <w:p w:rsidR="00927865" w:rsidRPr="00412E26" w:rsidRDefault="00927865" w:rsidP="0049488A">
      <w:pPr>
        <w:spacing w:after="0"/>
        <w:ind w:left="1134"/>
        <w:jc w:val="both"/>
      </w:pPr>
      <w:r w:rsidRPr="00412E26">
        <w:t>„Die Gründung der Reichsvertretung als Antwort auf die nationalsozialistische Bedrohung gab dem Willen der jüdischen Gemeinschaft zur Selbstbehauptung den stärksten Ausdruck. Selbstbehauptung bedeutete jedoch nicht politischen Wide</w:t>
      </w:r>
      <w:r w:rsidRPr="00412E26">
        <w:t>r</w:t>
      </w:r>
      <w:r w:rsidRPr="00412E26">
        <w:t>stand. Als eine</w:t>
      </w:r>
      <w:r w:rsidR="00895AEE">
        <w:t>[r]</w:t>
      </w:r>
      <w:r w:rsidRPr="00412E26">
        <w:t xml:space="preserve"> kleine</w:t>
      </w:r>
      <w:r w:rsidR="00895AEE">
        <w:t>[n]</w:t>
      </w:r>
      <w:r w:rsidRPr="00412E26">
        <w:t>, zumeist bürgerliche</w:t>
      </w:r>
      <w:r w:rsidR="00895AEE">
        <w:t>[n]</w:t>
      </w:r>
      <w:r w:rsidRPr="00412E26">
        <w:t xml:space="preserve"> Minorität, überaltert, politisch zersplittert und ohne Bündnispartner, fehlte den deutschen Juden jede Vorausse</w:t>
      </w:r>
      <w:r w:rsidRPr="00412E26">
        <w:t>t</w:t>
      </w:r>
      <w:r w:rsidRPr="00412E26">
        <w:t xml:space="preserve">zung für kollektiven politischen Widerstand. Hinzu kam, </w:t>
      </w:r>
      <w:proofErr w:type="spellStart"/>
      <w:r w:rsidRPr="00412E26">
        <w:t>daß</w:t>
      </w:r>
      <w:proofErr w:type="spellEnd"/>
      <w:r w:rsidRPr="00412E26">
        <w:t xml:space="preserve"> die meisten Juden 1933 den Nationalsozialismus noch für eine vorübergehende Erscheinung hielten, seine volle Gefahr noch nicht erkannten und die Wiederherstellung des liberalen Rechtsstaates erwarteten.“</w:t>
      </w:r>
      <w:r w:rsidR="0049488A">
        <w:rPr>
          <w:rStyle w:val="Funotenzeichen"/>
        </w:rPr>
        <w:footnoteReference w:id="33"/>
      </w:r>
    </w:p>
    <w:p w:rsidR="0049488A" w:rsidRDefault="00805EFE" w:rsidP="00927865">
      <w:pPr>
        <w:spacing w:after="0"/>
        <w:jc w:val="both"/>
      </w:pPr>
      <w:r>
        <w:t xml:space="preserve">Monika </w:t>
      </w:r>
      <w:proofErr w:type="spellStart"/>
      <w:r>
        <w:t>Richarz</w:t>
      </w:r>
      <w:proofErr w:type="spellEnd"/>
      <w:r>
        <w:t xml:space="preserve"> weist auch auf den aktiven jüdischen Widerstand hin. </w:t>
      </w:r>
      <w:r w:rsidR="00014F89">
        <w:t>Die Möglichkeiten zu aktiver Widerstandsarbeit waren jedoch begrenzt</w:t>
      </w:r>
      <w:r>
        <w:t>:</w:t>
      </w:r>
    </w:p>
    <w:p w:rsidR="00927865" w:rsidRPr="00596254" w:rsidRDefault="00927865" w:rsidP="00014F89">
      <w:pPr>
        <w:spacing w:after="0"/>
        <w:ind w:left="1134"/>
        <w:jc w:val="both"/>
      </w:pPr>
      <w:r w:rsidRPr="00596254">
        <w:t>„Die jüdischen Mitglieder von Widerstandsgruppen wurden diesen bald zur G</w:t>
      </w:r>
      <w:r w:rsidRPr="00596254">
        <w:t>e</w:t>
      </w:r>
      <w:r w:rsidRPr="00596254">
        <w:t xml:space="preserve">fahr, weil sie als Juden schärfer überwacht wurden. Sie </w:t>
      </w:r>
      <w:proofErr w:type="spellStart"/>
      <w:r w:rsidRPr="00596254">
        <w:t>mußten</w:t>
      </w:r>
      <w:proofErr w:type="spellEnd"/>
      <w:r w:rsidRPr="00596254">
        <w:t xml:space="preserve"> daher entweder […] auswandern oder fanden sich in eigenen Widerstandsgruppen zusammen“.</w:t>
      </w:r>
      <w:r w:rsidR="00014F89">
        <w:rPr>
          <w:rStyle w:val="Funotenzeichen"/>
        </w:rPr>
        <w:footnoteReference w:id="34"/>
      </w:r>
      <w:r w:rsidRPr="00596254">
        <w:t xml:space="preserve"> </w:t>
      </w:r>
    </w:p>
    <w:p w:rsidR="00927865" w:rsidRDefault="00202647" w:rsidP="00060BEC">
      <w:pPr>
        <w:spacing w:after="0"/>
        <w:jc w:val="both"/>
      </w:pPr>
      <w:r>
        <w:t xml:space="preserve">Juden stellten für die Widerstandsgruppen ein Gefahrenmoment dar. </w:t>
      </w:r>
      <w:r w:rsidR="004C0809">
        <w:t xml:space="preserve">Dies Faktum wird oft übersehen; die Gründe sind jedoch evident. </w:t>
      </w:r>
      <w:r>
        <w:t xml:space="preserve">Richard Löwenthal </w:t>
      </w:r>
      <w:r w:rsidR="004C0809">
        <w:t>berichtete</w:t>
      </w:r>
      <w:r w:rsidR="003E2D08">
        <w:t xml:space="preserve"> </w:t>
      </w:r>
      <w:r w:rsidR="004C0809">
        <w:t xml:space="preserve">z.B. </w:t>
      </w:r>
      <w:r>
        <w:t>im Rahmen eines Vortrags</w:t>
      </w:r>
      <w:r w:rsidR="003E2D08">
        <w:t xml:space="preserve"> an der Universität Hamburg</w:t>
      </w:r>
      <w:r>
        <w:t xml:space="preserve">, dass er </w:t>
      </w:r>
      <w:r w:rsidR="003E2D08">
        <w:t xml:space="preserve">selber </w:t>
      </w:r>
      <w:r w:rsidR="00806807">
        <w:t>aus seiner Widerstandsg</w:t>
      </w:r>
      <w:r>
        <w:t>ruppe au</w:t>
      </w:r>
      <w:r>
        <w:t>s</w:t>
      </w:r>
      <w:r>
        <w:t>geschlossen wurde, weil es keine überzeugende Erklärung dafür gab, dass er – ein Intellekt</w:t>
      </w:r>
      <w:r>
        <w:t>u</w:t>
      </w:r>
      <w:r>
        <w:t>eller – sich regelmäßig mit einer Gruppe von Arbeitern traf. Die Überwachungsorgane mus</w:t>
      </w:r>
      <w:r>
        <w:t>s</w:t>
      </w:r>
      <w:r>
        <w:t xml:space="preserve">ten deshalb zwangsläufig zu der Schlussfolgerung gelangen, dass es sich </w:t>
      </w:r>
      <w:r w:rsidR="00806807">
        <w:t>bei den Treffen</w:t>
      </w:r>
      <w:r>
        <w:t xml:space="preserve"> um Widerstandsarbeit handelte.</w:t>
      </w:r>
      <w:r w:rsidR="003E2D08">
        <w:t xml:space="preserve"> Löwenthals persönlicher Ausweg war in diesem Fall die Emigr</w:t>
      </w:r>
      <w:r w:rsidR="003E2D08">
        <w:t>a</w:t>
      </w:r>
      <w:r w:rsidR="003E2D08">
        <w:t>tion.</w:t>
      </w:r>
    </w:p>
    <w:p w:rsidR="00202647" w:rsidRDefault="00202647" w:rsidP="00060BEC">
      <w:pPr>
        <w:spacing w:after="0"/>
        <w:jc w:val="both"/>
      </w:pPr>
    </w:p>
    <w:p w:rsidR="003E2D08" w:rsidRDefault="00207518" w:rsidP="006017F0">
      <w:pPr>
        <w:spacing w:after="0"/>
        <w:jc w:val="both"/>
      </w:pPr>
      <w:r>
        <w:tab/>
      </w:r>
      <w:r w:rsidR="003E2D08">
        <w:t xml:space="preserve">Der Druck der politischen </w:t>
      </w:r>
      <w:r w:rsidR="00806807">
        <w:t>wie der wirtschaftlich</w:t>
      </w:r>
      <w:r w:rsidR="003E2D08">
        <w:t>en Situation löste starke Verunsich</w:t>
      </w:r>
      <w:r w:rsidR="003E2D08">
        <w:t>e</w:t>
      </w:r>
      <w:r w:rsidR="003E2D08">
        <w:t>rungen aus.</w:t>
      </w:r>
      <w:r w:rsidR="004C0809" w:rsidRPr="004C0809">
        <w:rPr>
          <w:rStyle w:val="Funotenzeichen"/>
        </w:rPr>
        <w:t xml:space="preserve"> </w:t>
      </w:r>
      <w:r w:rsidR="004C0809">
        <w:rPr>
          <w:rStyle w:val="Funotenzeichen"/>
        </w:rPr>
        <w:footnoteReference w:id="35"/>
      </w:r>
      <w:r w:rsidR="003E2D08">
        <w:t xml:space="preserve"> </w:t>
      </w:r>
      <w:r w:rsidR="00D57DBD">
        <w:t xml:space="preserve">Es setzte eine Flucht in die Verbände und Organisationen ein: ein Zeichen von Ohnmacht und Hilflosigkeit. </w:t>
      </w:r>
    </w:p>
    <w:p w:rsidR="006017F0" w:rsidRDefault="006017F0" w:rsidP="003E2D08">
      <w:pPr>
        <w:spacing w:after="0"/>
        <w:ind w:firstLine="708"/>
        <w:jc w:val="both"/>
      </w:pPr>
      <w:r>
        <w:lastRenderedPageBreak/>
        <w:t>Von den 1933 rund 100 000 Betrieben und Geschäften jüdischer Inhaber verschwa</w:t>
      </w:r>
      <w:r>
        <w:t>n</w:t>
      </w:r>
      <w:r>
        <w:t xml:space="preserve">den in den beiden Folgejahren 25 000. Die meisten Mittel-, Klein- und Kleinstbetriebe erlitten infolge des Boykotts schwere Umsatzeinbußen. Sie mussten Personal entlassen oder gingen </w:t>
      </w:r>
      <w:proofErr w:type="gramStart"/>
      <w:r>
        <w:t>bankrott</w:t>
      </w:r>
      <w:proofErr w:type="gramEnd"/>
      <w:r>
        <w:t>. Da jüdische Ärzte schon im Sommer 1933 ihre Kassenzulassung und damit einen erheblichen Teil ihrer Patienten verloren hatten, schloss die Hälfte der Praxen bis 1937. Äh</w:t>
      </w:r>
      <w:r>
        <w:t>n</w:t>
      </w:r>
      <w:r>
        <w:t>lich erging es den jüdischen Rechtsanwälten.</w:t>
      </w:r>
      <w:r w:rsidR="00AF2F71">
        <w:rPr>
          <w:rStyle w:val="Funotenzeichen"/>
        </w:rPr>
        <w:footnoteReference w:id="36"/>
      </w:r>
      <w:r w:rsidR="00AF2F71">
        <w:t xml:space="preserve"> Durch den Außendruck veränderte sich das jüdische Vereinsleben. </w:t>
      </w:r>
      <w:r>
        <w:t>B</w:t>
      </w:r>
      <w:r w:rsidR="00207518">
        <w:t>i</w:t>
      </w:r>
      <w:r>
        <w:t>nnen weniger Monate wurden aus deutschen Juden oder aus Deu</w:t>
      </w:r>
      <w:r>
        <w:t>t</w:t>
      </w:r>
      <w:r>
        <w:t xml:space="preserve">schen, die sich kaum noch ihrer jüdischen Wurzeln erinnerten, wieder Juden. Das zeigte sich im raschen, von Isolation und Angst bewirkten Aufschwung des jüdischen Vereinslebens. </w:t>
      </w:r>
      <w:proofErr w:type="gramStart"/>
      <w:r>
        <w:t>Der Reichsbund</w:t>
      </w:r>
      <w:proofErr w:type="gramEnd"/>
      <w:r>
        <w:t xml:space="preserve"> jüdischer Frontsoldaten und dessen Jugend- und Sportvereine gewannen in wen</w:t>
      </w:r>
      <w:r>
        <w:t>i</w:t>
      </w:r>
      <w:r>
        <w:t>gen Jahren fast 50 000 neue Mitglieder. Trotz der starken, 1933 sofort einsetzenden Emigrat</w:t>
      </w:r>
      <w:r>
        <w:t>i</w:t>
      </w:r>
      <w:r>
        <w:t>on nach Palästina steigerte die Zionistische Vereinigung für Deutschland ihre Mitgliederzahl v0n 7 000 (1932) auf 22 000 im Jahr 1935. Vor allem die jungen Leute wandten sich den Zi</w:t>
      </w:r>
      <w:r>
        <w:t>o</w:t>
      </w:r>
      <w:r>
        <w:t xml:space="preserve">nisten zu, so </w:t>
      </w:r>
      <w:r w:rsidR="00026A4B">
        <w:t>vergrößerte sich</w:t>
      </w:r>
      <w:r>
        <w:t xml:space="preserve"> die zionistische Jugendorganisation </w:t>
      </w:r>
      <w:proofErr w:type="spellStart"/>
      <w:r>
        <w:t>Hechaluz</w:t>
      </w:r>
      <w:proofErr w:type="spellEnd"/>
      <w:r>
        <w:t xml:space="preserve"> (</w:t>
      </w:r>
      <w:r w:rsidR="00026A4B">
        <w:t>„</w:t>
      </w:r>
      <w:r>
        <w:t>Pionier</w:t>
      </w:r>
      <w:r w:rsidR="00026A4B">
        <w:t>“</w:t>
      </w:r>
      <w:r>
        <w:t>) von 500 Mitgliedern im Jahr 1933 auf 16 000 Ende 1935.</w:t>
      </w:r>
      <w:r w:rsidR="00AF2F71">
        <w:rPr>
          <w:rStyle w:val="Funotenzeichen"/>
        </w:rPr>
        <w:footnoteReference w:id="37"/>
      </w:r>
    </w:p>
    <w:p w:rsidR="00056AA8" w:rsidRDefault="00056AA8" w:rsidP="00927865">
      <w:pPr>
        <w:spacing w:after="0"/>
        <w:ind w:firstLine="708"/>
        <w:jc w:val="both"/>
      </w:pPr>
      <w:r>
        <w:t>Aufgrund des wirtschaftlichen Drucks wuchs bei der jüdischen Bevölkerung die A</w:t>
      </w:r>
      <w:r>
        <w:t>r</w:t>
      </w:r>
      <w:r>
        <w:t>beitslosigkeit.</w:t>
      </w:r>
      <w:r w:rsidRPr="00056AA8">
        <w:t xml:space="preserve"> </w:t>
      </w:r>
      <w:r>
        <w:t>Während die Zahl der ‚arischen‘ Arbeitslosen zwischen 1933 und dem Sommer 1936 um zwei Drittel zurückging, stieg die Zahl der jüdischen Arbeitslosen fortlaufend an: Mitte 1936 wurden mehr jüdische Arbeitslose als zu Beginn der NS-Diktatur gezählt, insg</w:t>
      </w:r>
      <w:r>
        <w:t>e</w:t>
      </w:r>
      <w:r>
        <w:t>samt 37 204 – und das, obwohl schon gut 80 000 Juden emigriert waren, überwiegend im be</w:t>
      </w:r>
      <w:r>
        <w:t>s</w:t>
      </w:r>
      <w:r>
        <w:t>ten Arbeitsalter.</w:t>
      </w:r>
      <w:r>
        <w:rPr>
          <w:rStyle w:val="Funotenzeichen"/>
        </w:rPr>
        <w:footnoteReference w:id="38"/>
      </w:r>
      <w:r w:rsidRPr="00056AA8">
        <w:t xml:space="preserve"> </w:t>
      </w:r>
      <w:r>
        <w:t>Bis Ende 1937 hatten mehr als 125 000 Juden Deutschland verlassen; von insgesamt 116 000 Kindern und Jugendlichen im Alter von 6 bis 20 Jahren waren 67 000 au</w:t>
      </w:r>
      <w:r>
        <w:t>s</w:t>
      </w:r>
      <w:r>
        <w:t>gewandert. Die Folge war Überalterung.</w:t>
      </w:r>
      <w:r>
        <w:rPr>
          <w:rStyle w:val="Funotenzeichen"/>
        </w:rPr>
        <w:footnoteReference w:id="39"/>
      </w:r>
    </w:p>
    <w:p w:rsidR="00E318F7" w:rsidRDefault="00026A4B" w:rsidP="00026A4B">
      <w:pPr>
        <w:spacing w:after="0"/>
        <w:ind w:firstLine="708"/>
        <w:jc w:val="both"/>
      </w:pPr>
      <w:r>
        <w:t>Ebenso s</w:t>
      </w:r>
      <w:r w:rsidR="00AF2F71">
        <w:t xml:space="preserve">ignifikant </w:t>
      </w:r>
      <w:r>
        <w:t>sind</w:t>
      </w:r>
      <w:r w:rsidR="00AF2F71">
        <w:t xml:space="preserve"> </w:t>
      </w:r>
      <w:r w:rsidR="00056AA8">
        <w:t xml:space="preserve">auch </w:t>
      </w:r>
      <w:r w:rsidR="00AF2F71">
        <w:t>die Veränderung</w:t>
      </w:r>
      <w:r>
        <w:t>en</w:t>
      </w:r>
      <w:r w:rsidR="00AF2F71">
        <w:t xml:space="preserve"> im Bereich des Schulwesens. </w:t>
      </w:r>
      <w:r w:rsidR="006017F0">
        <w:t>1933 besuchten 75 Prozent aller jüdischen Schüler öffentliche Schulden, Ende 1937 nur noch 40 Prozent; in Berlin sank die Zahl jüdischer Kinder an öffentlichen Schulen im selben Zeitraum von 12 746 auf 2 704. Gleichzeitig stieg die Schülerzahl an jüdischen Schulen von 2 000 auf 8 845. Man versuchte,</w:t>
      </w:r>
      <w:r w:rsidR="00056AA8">
        <w:t xml:space="preserve"> die Kinder vom Druck der Außenwelt abzuschirmen.</w:t>
      </w:r>
      <w:r w:rsidR="00056AA8">
        <w:rPr>
          <w:rStyle w:val="Funotenzeichen"/>
        </w:rPr>
        <w:footnoteReference w:id="40"/>
      </w:r>
      <w:r w:rsidR="00056AA8">
        <w:t xml:space="preserve"> </w:t>
      </w:r>
      <w:r w:rsidR="00DF6F34">
        <w:t>D</w:t>
      </w:r>
      <w:r w:rsidR="00AF2F71">
        <w:t>ie Gemeinden wurden unter diesen</w:t>
      </w:r>
      <w:r w:rsidR="00DF6F34">
        <w:t xml:space="preserve"> Umständen zu Selbsthilfeeinrichtungen. </w:t>
      </w:r>
      <w:r w:rsidR="006017F0">
        <w:t>Aus religiösen Zentren wurden Hilfsstelle für Rechtsberatung und Fürsorge. Boykottgeschädigten Geschäftsinhabern gewäh</w:t>
      </w:r>
      <w:r w:rsidR="006017F0">
        <w:t>r</w:t>
      </w:r>
      <w:r w:rsidR="006017F0">
        <w:t>ten sie Kleinkredite, Entlassen</w:t>
      </w:r>
      <w:r>
        <w:t>en</w:t>
      </w:r>
      <w:r w:rsidR="006017F0">
        <w:t xml:space="preserve"> halfen sie bei der Stellungssuche, Jugendlichen vermittelten sie Ausbildungsplätze.</w:t>
      </w:r>
      <w:r w:rsidR="00DF6F34">
        <w:rPr>
          <w:rStyle w:val="Funotenzeichen"/>
        </w:rPr>
        <w:footnoteReference w:id="41"/>
      </w:r>
      <w:r w:rsidR="00E318F7" w:rsidRPr="00E318F7">
        <w:t xml:space="preserve"> </w:t>
      </w:r>
    </w:p>
    <w:p w:rsidR="00E318F7" w:rsidRDefault="00E318F7" w:rsidP="00E318F7">
      <w:pPr>
        <w:spacing w:after="0"/>
        <w:ind w:firstLine="708"/>
        <w:jc w:val="both"/>
      </w:pPr>
      <w:r>
        <w:t>Im Dezember 1934 setzten die Spitzen des NS-Staates die ‚restlose Ausschaltung des Juden aus der deutschen Lebensgemeinschaft“ auf die Agenda. Sie diskutierten die schon mehrfach erwogene umfassende ‚gesetzliche Regelung der Judenfrage‘, die das Eheverbot zwischen Juden und Nichtjuden einschloss und die vollständige soziale Isolierung der jüd</w:t>
      </w:r>
      <w:r>
        <w:t>i</w:t>
      </w:r>
      <w:r>
        <w:lastRenderedPageBreak/>
        <w:t xml:space="preserve">schen Deutschen </w:t>
      </w:r>
      <w:proofErr w:type="gramStart"/>
      <w:r>
        <w:t>bezweckte</w:t>
      </w:r>
      <w:proofErr w:type="gramEnd"/>
      <w:r w:rsidR="004C0809">
        <w:t>.</w:t>
      </w:r>
      <w:r>
        <w:rPr>
          <w:rStyle w:val="Funotenzeichen"/>
        </w:rPr>
        <w:footnoteReference w:id="42"/>
      </w:r>
      <w:r>
        <w:t xml:space="preserve"> Im Juni 1936 entschi</w:t>
      </w:r>
      <w:r w:rsidR="004C0809">
        <w:t>e</w:t>
      </w:r>
      <w:r>
        <w:t>d</w:t>
      </w:r>
      <w:r w:rsidRPr="00E318F7">
        <w:t xml:space="preserve"> </w:t>
      </w:r>
      <w:r>
        <w:t>das Leipziger Reichsgericht, dass Ve</w:t>
      </w:r>
      <w:r>
        <w:t>r</w:t>
      </w:r>
      <w:r>
        <w:t>träge mit „Juden“ nicht gültig s</w:t>
      </w:r>
      <w:r w:rsidR="004C0809">
        <w:t>eien</w:t>
      </w:r>
      <w:r>
        <w:t xml:space="preserve">: </w:t>
      </w:r>
      <w:r w:rsidR="004C0809">
        <w:t>Das Gericht</w:t>
      </w:r>
      <w:r>
        <w:t xml:space="preserve"> urteil</w:t>
      </w:r>
      <w:r w:rsidR="004C0809">
        <w:t>t</w:t>
      </w:r>
      <w:r>
        <w:t>e, dass die „aus gesetzlich anerkannten rassenpolitischen Gesichtspunkten eingetretene Änderung in der rechtlichen Geltung der Pe</w:t>
      </w:r>
      <w:r>
        <w:t>r</w:t>
      </w:r>
      <w:r>
        <w:t>sönlichkeit“ dem in dem Vertrag vorgesehenen Fall des physischen Todes „</w:t>
      </w:r>
      <w:proofErr w:type="spellStart"/>
      <w:r>
        <w:t>gleichzuachten</w:t>
      </w:r>
      <w:proofErr w:type="spellEnd"/>
      <w:r>
        <w:t>“ sei. Damit w</w:t>
      </w:r>
      <w:r w:rsidR="004C0809">
        <w:t>u</w:t>
      </w:r>
      <w:r>
        <w:t>rd</w:t>
      </w:r>
      <w:r w:rsidR="004C0809">
        <w:t>e</w:t>
      </w:r>
      <w:r>
        <w:t xml:space="preserve"> – so Wolf Gruner – </w:t>
      </w:r>
      <w:r w:rsidR="00CF0C7A">
        <w:t xml:space="preserve">nichts anderes als </w:t>
      </w:r>
      <w:r>
        <w:t>der „bürgerliche Tod“ der deutschen Juden festgestellt.</w:t>
      </w:r>
      <w:r>
        <w:rPr>
          <w:rStyle w:val="Funotenzeichen"/>
        </w:rPr>
        <w:footnoteReference w:id="43"/>
      </w:r>
      <w:r w:rsidR="00026A4B">
        <w:t xml:space="preserve"> – Mit dem Urteil des Leipziger Reichsgerichts rückt</w:t>
      </w:r>
      <w:r w:rsidR="004C0809">
        <w:t>e</w:t>
      </w:r>
      <w:r w:rsidR="00026A4B">
        <w:t xml:space="preserve"> bereits das Ende des deutschen Judentums ins Blickfeld. </w:t>
      </w:r>
    </w:p>
    <w:p w:rsidR="002757B7" w:rsidRDefault="002757B7" w:rsidP="006017F0">
      <w:pPr>
        <w:spacing w:after="0"/>
        <w:jc w:val="both"/>
      </w:pPr>
    </w:p>
    <w:sectPr w:rsidR="002757B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D8" w:rsidRDefault="009979D8" w:rsidP="00DF5B08">
      <w:pPr>
        <w:spacing w:after="0" w:line="240" w:lineRule="auto"/>
      </w:pPr>
      <w:r>
        <w:separator/>
      </w:r>
    </w:p>
  </w:endnote>
  <w:endnote w:type="continuationSeparator" w:id="0">
    <w:p w:rsidR="009979D8" w:rsidRDefault="009979D8" w:rsidP="00DF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D8" w:rsidRDefault="009979D8" w:rsidP="00DF5B08">
      <w:pPr>
        <w:spacing w:after="0" w:line="240" w:lineRule="auto"/>
      </w:pPr>
      <w:r>
        <w:separator/>
      </w:r>
    </w:p>
  </w:footnote>
  <w:footnote w:type="continuationSeparator" w:id="0">
    <w:p w:rsidR="009979D8" w:rsidRDefault="009979D8" w:rsidP="00DF5B08">
      <w:pPr>
        <w:spacing w:after="0" w:line="240" w:lineRule="auto"/>
      </w:pPr>
      <w:r>
        <w:continuationSeparator/>
      </w:r>
    </w:p>
  </w:footnote>
  <w:footnote w:id="1">
    <w:p w:rsidR="00FA249F" w:rsidRDefault="00FA249F" w:rsidP="000C2BF9">
      <w:pPr>
        <w:spacing w:after="0"/>
        <w:jc w:val="both"/>
      </w:pPr>
      <w:r>
        <w:rPr>
          <w:rStyle w:val="Funotenzeichen"/>
        </w:rPr>
        <w:footnoteRef/>
      </w:r>
      <w:r>
        <w:t xml:space="preserve"> </w:t>
      </w:r>
      <w:r w:rsidRPr="00DF5B08">
        <w:rPr>
          <w:sz w:val="20"/>
          <w:szCs w:val="20"/>
        </w:rPr>
        <w:t xml:space="preserve">Barbara Honigmann: </w:t>
      </w:r>
      <w:r w:rsidRPr="00DF5B08">
        <w:rPr>
          <w:i/>
          <w:sz w:val="20"/>
          <w:szCs w:val="20"/>
        </w:rPr>
        <w:t>Damals, dann und danach.</w:t>
      </w:r>
      <w:r w:rsidRPr="00DF5B08">
        <w:rPr>
          <w:sz w:val="20"/>
          <w:szCs w:val="20"/>
        </w:rPr>
        <w:t xml:space="preserve"> München 2002, S. 13 f.</w:t>
      </w:r>
    </w:p>
  </w:footnote>
  <w:footnote w:id="2">
    <w:p w:rsidR="00FA249F" w:rsidRDefault="00FA249F" w:rsidP="00CC2253">
      <w:pPr>
        <w:spacing w:after="0" w:line="240" w:lineRule="auto"/>
        <w:jc w:val="both"/>
      </w:pPr>
      <w:r>
        <w:rPr>
          <w:rStyle w:val="Funotenzeichen"/>
        </w:rPr>
        <w:footnoteRef/>
      </w:r>
      <w:r>
        <w:t xml:space="preserve"> </w:t>
      </w:r>
      <w:r w:rsidRPr="00252A41">
        <w:rPr>
          <w:sz w:val="20"/>
          <w:szCs w:val="20"/>
        </w:rPr>
        <w:t xml:space="preserve">Paul Martin Neurath: </w:t>
      </w:r>
      <w:r w:rsidRPr="00252A41">
        <w:rPr>
          <w:i/>
          <w:sz w:val="20"/>
          <w:szCs w:val="20"/>
        </w:rPr>
        <w:t>Die Gesellschaft des Terrors</w:t>
      </w:r>
      <w:r w:rsidRPr="00252A41">
        <w:rPr>
          <w:sz w:val="20"/>
          <w:szCs w:val="20"/>
        </w:rPr>
        <w:t>. Innenansichten der Konzentrationslager Dachau und</w:t>
      </w:r>
      <w:r>
        <w:rPr>
          <w:sz w:val="20"/>
          <w:szCs w:val="20"/>
        </w:rPr>
        <w:t xml:space="preserve"> </w:t>
      </w:r>
      <w:r w:rsidRPr="00252A41">
        <w:rPr>
          <w:sz w:val="20"/>
          <w:szCs w:val="20"/>
        </w:rPr>
        <w:t>B</w:t>
      </w:r>
      <w:r w:rsidRPr="00252A41">
        <w:rPr>
          <w:sz w:val="20"/>
          <w:szCs w:val="20"/>
        </w:rPr>
        <w:t>u</w:t>
      </w:r>
      <w:r w:rsidRPr="00252A41">
        <w:rPr>
          <w:sz w:val="20"/>
          <w:szCs w:val="20"/>
        </w:rPr>
        <w:t>chenwald. Hrsg. von Christian Fleck und Nico Stehr. Frankfurt a.M. 2004</w:t>
      </w:r>
      <w:r>
        <w:rPr>
          <w:sz w:val="20"/>
          <w:szCs w:val="20"/>
        </w:rPr>
        <w:t xml:space="preserve">, </w:t>
      </w:r>
      <w:r w:rsidRPr="00252A41">
        <w:rPr>
          <w:sz w:val="20"/>
          <w:szCs w:val="20"/>
        </w:rPr>
        <w:t>S. 399</w:t>
      </w:r>
      <w:r>
        <w:t>.</w:t>
      </w:r>
    </w:p>
  </w:footnote>
  <w:footnote w:id="3">
    <w:p w:rsidR="00FA249F" w:rsidRPr="000118AC" w:rsidRDefault="00FA249F" w:rsidP="00524EFA">
      <w:pPr>
        <w:pStyle w:val="Funotentext"/>
        <w:jc w:val="both"/>
      </w:pPr>
      <w:r>
        <w:rPr>
          <w:rStyle w:val="Funotenzeichen"/>
        </w:rPr>
        <w:footnoteRef/>
      </w:r>
      <w:r>
        <w:t xml:space="preserve"> Vgl. Wolfgang </w:t>
      </w:r>
      <w:proofErr w:type="spellStart"/>
      <w:r>
        <w:t>Sofsky</w:t>
      </w:r>
      <w:proofErr w:type="spellEnd"/>
      <w:r>
        <w:t xml:space="preserve">: </w:t>
      </w:r>
      <w:r>
        <w:rPr>
          <w:i/>
        </w:rPr>
        <w:t>Die Ordnung des Terrors: Das Konzentrationslager.</w:t>
      </w:r>
      <w:r>
        <w:t xml:space="preserve"> Frankfurt 1997, S. 137 – 151.</w:t>
      </w:r>
    </w:p>
  </w:footnote>
  <w:footnote w:id="4">
    <w:p w:rsidR="00FA249F" w:rsidRDefault="00FA249F" w:rsidP="00524EFA">
      <w:pPr>
        <w:pStyle w:val="Funotentext"/>
        <w:jc w:val="both"/>
      </w:pPr>
      <w:r>
        <w:rPr>
          <w:rStyle w:val="Funotenzeichen"/>
        </w:rPr>
        <w:footnoteRef/>
      </w:r>
      <w:r>
        <w:t xml:space="preserve"> Vor allem Jorge Semprun hat in seinen autobiografischen Romanen über seine Lagerzeit dieses Faktum immer wieder thematisiert.</w:t>
      </w:r>
    </w:p>
  </w:footnote>
  <w:footnote w:id="5">
    <w:p w:rsidR="00FA249F" w:rsidRPr="00CC2253" w:rsidRDefault="00FA249F">
      <w:pPr>
        <w:pStyle w:val="Funotentext"/>
      </w:pPr>
      <w:r>
        <w:rPr>
          <w:rStyle w:val="Funotenzeichen"/>
        </w:rPr>
        <w:footnoteRef/>
      </w:r>
      <w:r>
        <w:t xml:space="preserve"> Neurath: </w:t>
      </w:r>
      <w:r>
        <w:rPr>
          <w:i/>
        </w:rPr>
        <w:t>Die Gesellschaft</w:t>
      </w:r>
      <w:r>
        <w:t>, S. 399.</w:t>
      </w:r>
    </w:p>
  </w:footnote>
  <w:footnote w:id="6">
    <w:p w:rsidR="00FA249F" w:rsidRDefault="00FA249F" w:rsidP="00AA0645">
      <w:pPr>
        <w:pStyle w:val="Funotentext"/>
        <w:jc w:val="both"/>
      </w:pPr>
      <w:r>
        <w:rPr>
          <w:rStyle w:val="Funotenzeichen"/>
        </w:rPr>
        <w:footnoteRef/>
      </w:r>
      <w:r>
        <w:t xml:space="preserve"> </w:t>
      </w:r>
      <w:r w:rsidRPr="000C2BF9">
        <w:t xml:space="preserve">Peter Gay: </w:t>
      </w:r>
      <w:r w:rsidRPr="000C2BF9">
        <w:rPr>
          <w:i/>
        </w:rPr>
        <w:t>Freud, Juden und andere Deutsche.</w:t>
      </w:r>
      <w:r w:rsidRPr="000C2BF9">
        <w:t xml:space="preserve"> Herrn und Opfer in der modernen Kultur. München 1989</w:t>
      </w:r>
      <w:r>
        <w:t>, S. 185 f.</w:t>
      </w:r>
    </w:p>
  </w:footnote>
  <w:footnote w:id="7">
    <w:p w:rsidR="00FA249F" w:rsidRDefault="00FA249F" w:rsidP="00AA0645">
      <w:pPr>
        <w:pStyle w:val="Funotentext"/>
        <w:jc w:val="both"/>
      </w:pPr>
      <w:r>
        <w:rPr>
          <w:rStyle w:val="Funotenzeichen"/>
        </w:rPr>
        <w:footnoteRef/>
      </w:r>
      <w:r>
        <w:t xml:space="preserve"> A.a.O., S. 187. – Peter Gay bezieht sich hier auf Ernst Cassirer.</w:t>
      </w:r>
    </w:p>
  </w:footnote>
  <w:footnote w:id="8">
    <w:p w:rsidR="00FA249F" w:rsidRDefault="00FA249F">
      <w:pPr>
        <w:pStyle w:val="Funotentext"/>
      </w:pPr>
      <w:r>
        <w:rPr>
          <w:rStyle w:val="Funotenzeichen"/>
        </w:rPr>
        <w:footnoteRef/>
      </w:r>
      <w:r>
        <w:t xml:space="preserve"> Ebd.</w:t>
      </w:r>
    </w:p>
  </w:footnote>
  <w:footnote w:id="9">
    <w:p w:rsidR="00FA249F" w:rsidRDefault="00FA249F">
      <w:pPr>
        <w:pStyle w:val="Funotentext"/>
      </w:pPr>
      <w:r>
        <w:rPr>
          <w:rStyle w:val="Funotenzeichen"/>
        </w:rPr>
        <w:footnoteRef/>
      </w:r>
      <w:r>
        <w:t xml:space="preserve"> Ebd. Hervorhebung – F.T. </w:t>
      </w:r>
    </w:p>
  </w:footnote>
  <w:footnote w:id="10">
    <w:p w:rsidR="00FA249F" w:rsidRPr="008A2118" w:rsidRDefault="00FA249F">
      <w:pPr>
        <w:pStyle w:val="Funotentext"/>
        <w:rPr>
          <w:i/>
        </w:rPr>
      </w:pPr>
      <w:r>
        <w:rPr>
          <w:rStyle w:val="Funotenzeichen"/>
        </w:rPr>
        <w:footnoteRef/>
      </w:r>
      <w:r>
        <w:t xml:space="preserve"> Peter Gay verweist darauf, dass die Musik Mozarts für Cassirer sein „wahres Element“ gewesen sei, Cassirer „kannte dessen Kammermusikwerke, Symphonien und Opern auswendig – sie ‚gehörten […] zu der Luft, in der er atmete‘“ (A.a.O., S. 188). Gay beruft sich hier auf Toni Cassirers Autobiografie </w:t>
      </w:r>
      <w:r>
        <w:rPr>
          <w:i/>
        </w:rPr>
        <w:t>Aus meinem Leben mit Ernst Cassirer.</w:t>
      </w:r>
    </w:p>
  </w:footnote>
  <w:footnote w:id="11">
    <w:p w:rsidR="00FA249F" w:rsidRDefault="00FA249F" w:rsidP="006777A3">
      <w:pPr>
        <w:spacing w:after="0"/>
        <w:jc w:val="both"/>
      </w:pPr>
      <w:r>
        <w:rPr>
          <w:rStyle w:val="Funotenzeichen"/>
        </w:rPr>
        <w:footnoteRef/>
      </w:r>
      <w:r>
        <w:t xml:space="preserve"> </w:t>
      </w:r>
      <w:r w:rsidRPr="006777A3">
        <w:rPr>
          <w:sz w:val="20"/>
          <w:szCs w:val="20"/>
        </w:rPr>
        <w:t>Joseph</w:t>
      </w:r>
      <w:r>
        <w:t xml:space="preserve"> </w:t>
      </w:r>
      <w:r w:rsidRPr="006777A3">
        <w:rPr>
          <w:sz w:val="20"/>
          <w:szCs w:val="20"/>
        </w:rPr>
        <w:t xml:space="preserve">Roth: </w:t>
      </w:r>
      <w:r w:rsidRPr="004C3712">
        <w:rPr>
          <w:i/>
          <w:sz w:val="20"/>
          <w:szCs w:val="20"/>
        </w:rPr>
        <w:t>Briefe 1911 – 1939.</w:t>
      </w:r>
      <w:r w:rsidRPr="004C3712">
        <w:rPr>
          <w:sz w:val="20"/>
          <w:szCs w:val="20"/>
        </w:rPr>
        <w:t xml:space="preserve"> Hrsg. Von Hermann Kesten. </w:t>
      </w:r>
      <w:r w:rsidRPr="00B67C3F">
        <w:rPr>
          <w:sz w:val="20"/>
          <w:szCs w:val="20"/>
        </w:rPr>
        <w:t>Köln/Berlin 1970</w:t>
      </w:r>
      <w:r w:rsidRPr="004C3712">
        <w:rPr>
          <w:sz w:val="20"/>
          <w:szCs w:val="20"/>
        </w:rPr>
        <w:t xml:space="preserve">, </w:t>
      </w:r>
      <w:r w:rsidRPr="006777A3">
        <w:rPr>
          <w:sz w:val="20"/>
          <w:szCs w:val="20"/>
        </w:rPr>
        <w:t>S. 257.</w:t>
      </w:r>
    </w:p>
  </w:footnote>
  <w:footnote w:id="12">
    <w:p w:rsidR="00FA249F" w:rsidRPr="00C913B9" w:rsidRDefault="00FA249F" w:rsidP="00064A0F">
      <w:pPr>
        <w:pStyle w:val="Funotentext"/>
      </w:pPr>
      <w:r>
        <w:rPr>
          <w:rStyle w:val="Funotenzeichen"/>
        </w:rPr>
        <w:footnoteRef/>
      </w:r>
      <w:r>
        <w:t xml:space="preserve"> Auf die Reaktion von Schriftstellern und Künstlern wurde bereits in Abschnitt (5), (6), (7), (8), (13), (16), (18) und (19) hingewiesen.</w:t>
      </w:r>
    </w:p>
  </w:footnote>
  <w:footnote w:id="13">
    <w:p w:rsidR="00FA249F" w:rsidRDefault="00FA249F" w:rsidP="00CE0283">
      <w:pPr>
        <w:pStyle w:val="Funotentext"/>
      </w:pPr>
      <w:r>
        <w:rPr>
          <w:rStyle w:val="Funotenzeichen"/>
        </w:rPr>
        <w:footnoteRef/>
      </w:r>
      <w:r>
        <w:t xml:space="preserve"> Vgl. hierzu </w:t>
      </w:r>
      <w:proofErr w:type="spellStart"/>
      <w:r>
        <w:t>Avraham</w:t>
      </w:r>
      <w:proofErr w:type="spellEnd"/>
      <w:r>
        <w:t xml:space="preserve"> </w:t>
      </w:r>
      <w:proofErr w:type="spellStart"/>
      <w:r>
        <w:t>Barkai</w:t>
      </w:r>
      <w:proofErr w:type="spellEnd"/>
      <w:r>
        <w:t xml:space="preserve">: </w:t>
      </w:r>
      <w:r>
        <w:rPr>
          <w:i/>
        </w:rPr>
        <w:t xml:space="preserve">„Wehr dich!“ </w:t>
      </w:r>
      <w:r>
        <w:t xml:space="preserve">Der </w:t>
      </w:r>
      <w:proofErr w:type="spellStart"/>
      <w:r>
        <w:t>Centralverein</w:t>
      </w:r>
      <w:proofErr w:type="spellEnd"/>
      <w:r>
        <w:t xml:space="preserve"> deutscher Staatsbürger jüdischen Glaubens (C.V.) 1893 – 1938. München 2002, S. 280 – 284. Die Distanzierung geschah selbstverständlich unter polit</w:t>
      </w:r>
      <w:r>
        <w:t>i</w:t>
      </w:r>
      <w:r>
        <w:t>schem Druck. Nichtsdestoweniger war sie ein Fehler.</w:t>
      </w:r>
    </w:p>
  </w:footnote>
  <w:footnote w:id="14">
    <w:p w:rsidR="00FA249F" w:rsidRPr="009C03AC" w:rsidRDefault="00FA249F">
      <w:pPr>
        <w:pStyle w:val="Funotentext"/>
      </w:pPr>
      <w:r>
        <w:rPr>
          <w:rStyle w:val="Funotenzeichen"/>
        </w:rPr>
        <w:footnoteRef/>
      </w:r>
      <w:r>
        <w:t xml:space="preserve"> </w:t>
      </w:r>
      <w:proofErr w:type="spellStart"/>
      <w:r>
        <w:t>Barkai</w:t>
      </w:r>
      <w:proofErr w:type="spellEnd"/>
      <w:r>
        <w:t xml:space="preserve">: </w:t>
      </w:r>
      <w:r>
        <w:rPr>
          <w:i/>
        </w:rPr>
        <w:t>„Wehr dich!“,</w:t>
      </w:r>
      <w:r>
        <w:t xml:space="preserve"> S. 279.</w:t>
      </w:r>
    </w:p>
  </w:footnote>
  <w:footnote w:id="15">
    <w:p w:rsidR="00FA249F" w:rsidRDefault="00FA249F" w:rsidP="00BF522F">
      <w:pPr>
        <w:spacing w:after="0" w:line="240" w:lineRule="auto"/>
        <w:jc w:val="both"/>
      </w:pPr>
      <w:r>
        <w:rPr>
          <w:rStyle w:val="Funotenzeichen"/>
        </w:rPr>
        <w:footnoteRef/>
      </w:r>
      <w:r>
        <w:t xml:space="preserve"> </w:t>
      </w:r>
      <w:r w:rsidRPr="00BF522F">
        <w:rPr>
          <w:sz w:val="20"/>
          <w:szCs w:val="20"/>
        </w:rPr>
        <w:t xml:space="preserve">Günter </w:t>
      </w:r>
      <w:proofErr w:type="spellStart"/>
      <w:r w:rsidRPr="00BF522F">
        <w:rPr>
          <w:sz w:val="20"/>
          <w:szCs w:val="20"/>
        </w:rPr>
        <w:t>Plum</w:t>
      </w:r>
      <w:proofErr w:type="spellEnd"/>
      <w:r w:rsidRPr="00BF522F">
        <w:rPr>
          <w:sz w:val="20"/>
          <w:szCs w:val="20"/>
        </w:rPr>
        <w:t xml:space="preserve">: Deutsche Juden oder Juden in Deutschland? – In: </w:t>
      </w:r>
      <w:r w:rsidRPr="00BF522F">
        <w:rPr>
          <w:i/>
          <w:sz w:val="20"/>
          <w:szCs w:val="20"/>
        </w:rPr>
        <w:t>Die Juden in Deutschland 1933 – 1945.</w:t>
      </w:r>
      <w:r w:rsidRPr="00BF522F">
        <w:rPr>
          <w:sz w:val="20"/>
          <w:szCs w:val="20"/>
        </w:rPr>
        <w:t xml:space="preserve"> L</w:t>
      </w:r>
      <w:r w:rsidRPr="00BF522F">
        <w:rPr>
          <w:sz w:val="20"/>
          <w:szCs w:val="20"/>
        </w:rPr>
        <w:t>e</w:t>
      </w:r>
      <w:r w:rsidRPr="00BF522F">
        <w:rPr>
          <w:sz w:val="20"/>
          <w:szCs w:val="20"/>
        </w:rPr>
        <w:t>ben unter nationalsozialistischer Herrschaft. Hrsg. von Wolfgang Benz. 3., durchgesehene Auflage. München 1993, S. 35 – 74</w:t>
      </w:r>
      <w:r>
        <w:rPr>
          <w:sz w:val="20"/>
          <w:szCs w:val="20"/>
        </w:rPr>
        <w:t>, hier S. 35</w:t>
      </w:r>
      <w:r w:rsidRPr="00BF522F">
        <w:rPr>
          <w:sz w:val="20"/>
          <w:szCs w:val="20"/>
        </w:rPr>
        <w:t>.</w:t>
      </w:r>
      <w:r>
        <w:rPr>
          <w:sz w:val="20"/>
          <w:szCs w:val="20"/>
        </w:rPr>
        <w:t xml:space="preserve"> Hervorhebung – F.T.</w:t>
      </w:r>
    </w:p>
  </w:footnote>
  <w:footnote w:id="16">
    <w:p w:rsidR="00FA249F" w:rsidRDefault="00FA249F">
      <w:pPr>
        <w:pStyle w:val="Funotentext"/>
      </w:pPr>
      <w:r>
        <w:rPr>
          <w:rStyle w:val="Funotenzeichen"/>
        </w:rPr>
        <w:footnoteRef/>
      </w:r>
      <w:r>
        <w:t xml:space="preserve"> Ebd.</w:t>
      </w:r>
    </w:p>
  </w:footnote>
  <w:footnote w:id="17">
    <w:p w:rsidR="00FA249F" w:rsidRDefault="00FA249F" w:rsidP="00A516F1">
      <w:pPr>
        <w:pStyle w:val="Funotentext"/>
      </w:pPr>
      <w:r>
        <w:rPr>
          <w:rStyle w:val="Funotenzeichen"/>
        </w:rPr>
        <w:footnoteRef/>
      </w:r>
      <w:r>
        <w:t xml:space="preserve"> S. 41.</w:t>
      </w:r>
    </w:p>
  </w:footnote>
  <w:footnote w:id="18">
    <w:p w:rsidR="00FA249F" w:rsidRDefault="00FA249F">
      <w:pPr>
        <w:pStyle w:val="Funotentext"/>
      </w:pPr>
      <w:r>
        <w:rPr>
          <w:rStyle w:val="Funotenzeichen"/>
        </w:rPr>
        <w:footnoteRef/>
      </w:r>
      <w:r>
        <w:t xml:space="preserve"> Ebd.</w:t>
      </w:r>
    </w:p>
  </w:footnote>
  <w:footnote w:id="19">
    <w:p w:rsidR="00FA249F" w:rsidRDefault="00FA249F">
      <w:pPr>
        <w:pStyle w:val="Funotentext"/>
      </w:pPr>
      <w:r>
        <w:rPr>
          <w:rStyle w:val="Funotenzeichen"/>
        </w:rPr>
        <w:footnoteRef/>
      </w:r>
      <w:r>
        <w:t xml:space="preserve"> S. 42.</w:t>
      </w:r>
    </w:p>
  </w:footnote>
  <w:footnote w:id="20">
    <w:p w:rsidR="00FA249F" w:rsidRPr="001C31C9" w:rsidRDefault="00FA249F">
      <w:pPr>
        <w:pStyle w:val="Funotentext"/>
      </w:pPr>
      <w:r>
        <w:rPr>
          <w:rStyle w:val="Funotenzeichen"/>
        </w:rPr>
        <w:footnoteRef/>
      </w:r>
      <w:r>
        <w:t xml:space="preserve"> </w:t>
      </w:r>
      <w:r>
        <w:rPr>
          <w:i/>
        </w:rPr>
        <w:t>Jüdisches Leben in Deutschland.</w:t>
      </w:r>
      <w:r>
        <w:t xml:space="preserve"> Selbstzeugnisse zur Sozialgeschichte 1918 – 1945. Hrsg. u. eingeleitet von Monika </w:t>
      </w:r>
      <w:proofErr w:type="spellStart"/>
      <w:r>
        <w:t>Richarz</w:t>
      </w:r>
      <w:proofErr w:type="spellEnd"/>
      <w:r>
        <w:t xml:space="preserve">. Stuttgart 1982, S. 26 (zitiert: </w:t>
      </w:r>
      <w:proofErr w:type="spellStart"/>
      <w:r>
        <w:t>Richarz</w:t>
      </w:r>
      <w:proofErr w:type="spellEnd"/>
      <w:r>
        <w:t xml:space="preserve">: </w:t>
      </w:r>
      <w:r>
        <w:rPr>
          <w:i/>
        </w:rPr>
        <w:t>Jüdisches Leben</w:t>
      </w:r>
      <w:r>
        <w:t xml:space="preserve">). </w:t>
      </w:r>
    </w:p>
  </w:footnote>
  <w:footnote w:id="21">
    <w:p w:rsidR="00FA249F" w:rsidRDefault="00FA249F">
      <w:pPr>
        <w:pStyle w:val="Funotentext"/>
      </w:pPr>
      <w:r>
        <w:rPr>
          <w:rStyle w:val="Funotenzeichen"/>
        </w:rPr>
        <w:footnoteRef/>
      </w:r>
      <w:r>
        <w:t xml:space="preserve"> S. 27.</w:t>
      </w:r>
    </w:p>
  </w:footnote>
  <w:footnote w:id="22">
    <w:p w:rsidR="00FA249F" w:rsidRDefault="00FA249F">
      <w:pPr>
        <w:pStyle w:val="Funotentext"/>
      </w:pPr>
      <w:r>
        <w:rPr>
          <w:rStyle w:val="Funotenzeichen"/>
        </w:rPr>
        <w:footnoteRef/>
      </w:r>
      <w:r>
        <w:t xml:space="preserve"> S. 41.</w:t>
      </w:r>
    </w:p>
  </w:footnote>
  <w:footnote w:id="23">
    <w:p w:rsidR="00FA249F" w:rsidRDefault="00FA249F">
      <w:pPr>
        <w:pStyle w:val="Funotentext"/>
      </w:pPr>
      <w:r>
        <w:rPr>
          <w:rStyle w:val="Funotenzeichen"/>
        </w:rPr>
        <w:footnoteRef/>
      </w:r>
      <w:r>
        <w:t xml:space="preserve"> S. 46.</w:t>
      </w:r>
    </w:p>
  </w:footnote>
  <w:footnote w:id="24">
    <w:p w:rsidR="00FA249F" w:rsidRDefault="00FA249F">
      <w:pPr>
        <w:pStyle w:val="Funotentext"/>
      </w:pPr>
      <w:r>
        <w:rPr>
          <w:rStyle w:val="Funotenzeichen"/>
        </w:rPr>
        <w:footnoteRef/>
      </w:r>
      <w:r>
        <w:t xml:space="preserve"> Ebd.</w:t>
      </w:r>
    </w:p>
  </w:footnote>
  <w:footnote w:id="25">
    <w:p w:rsidR="00FA249F" w:rsidRDefault="00FA249F">
      <w:pPr>
        <w:pStyle w:val="Funotentext"/>
      </w:pPr>
      <w:r>
        <w:rPr>
          <w:rStyle w:val="Funotenzeichen"/>
        </w:rPr>
        <w:footnoteRef/>
      </w:r>
      <w:r>
        <w:t xml:space="preserve"> S. 57.</w:t>
      </w:r>
    </w:p>
  </w:footnote>
  <w:footnote w:id="26">
    <w:p w:rsidR="004F012B" w:rsidRDefault="004F012B">
      <w:pPr>
        <w:pStyle w:val="Funotentext"/>
      </w:pPr>
      <w:r>
        <w:rPr>
          <w:rStyle w:val="Funotenzeichen"/>
        </w:rPr>
        <w:footnoteRef/>
      </w:r>
      <w:r>
        <w:t xml:space="preserve"> </w:t>
      </w:r>
      <w:proofErr w:type="spellStart"/>
      <w:r>
        <w:t>I</w:t>
      </w:r>
      <w:r w:rsidRPr="004F012B">
        <w:t>in</w:t>
      </w:r>
      <w:proofErr w:type="spellEnd"/>
      <w:r w:rsidRPr="004F012B">
        <w:t xml:space="preserve"> Zusammenhang mit dem Gesetz „zur Wiederherstellung des Berufsbeamtentums“</w:t>
      </w:r>
      <w:r>
        <w:t>.</w:t>
      </w:r>
    </w:p>
  </w:footnote>
  <w:footnote w:id="27">
    <w:p w:rsidR="00FA249F" w:rsidRDefault="00FA249F">
      <w:pPr>
        <w:pStyle w:val="Funotentext"/>
      </w:pPr>
      <w:r>
        <w:rPr>
          <w:rStyle w:val="Funotenzeichen"/>
        </w:rPr>
        <w:footnoteRef/>
      </w:r>
      <w:r>
        <w:t xml:space="preserve"> S. 42.</w:t>
      </w:r>
    </w:p>
  </w:footnote>
  <w:footnote w:id="28">
    <w:p w:rsidR="00FA249F" w:rsidRDefault="00FA249F">
      <w:pPr>
        <w:pStyle w:val="Funotentext"/>
      </w:pPr>
      <w:r>
        <w:rPr>
          <w:rStyle w:val="Funotenzeichen"/>
        </w:rPr>
        <w:footnoteRef/>
      </w:r>
      <w:r>
        <w:t xml:space="preserve"> Ebd.</w:t>
      </w:r>
      <w:r w:rsidR="004F012B">
        <w:t xml:space="preserve"> Hervorhebung – F.T.</w:t>
      </w:r>
    </w:p>
  </w:footnote>
  <w:footnote w:id="29">
    <w:p w:rsidR="00FA249F" w:rsidRDefault="00FA249F">
      <w:pPr>
        <w:pStyle w:val="Funotentext"/>
      </w:pPr>
      <w:r>
        <w:rPr>
          <w:rStyle w:val="Funotenzeichen"/>
        </w:rPr>
        <w:footnoteRef/>
      </w:r>
      <w:r>
        <w:t xml:space="preserve"> Günter </w:t>
      </w:r>
      <w:proofErr w:type="spellStart"/>
      <w:r>
        <w:t>Plum</w:t>
      </w:r>
      <w:proofErr w:type="spellEnd"/>
      <w:r>
        <w:t xml:space="preserve">: </w:t>
      </w:r>
      <w:r w:rsidRPr="00B36386">
        <w:rPr>
          <w:i/>
        </w:rPr>
        <w:t>Deutsche Juden</w:t>
      </w:r>
      <w:r>
        <w:t>, S. 53.</w:t>
      </w:r>
    </w:p>
  </w:footnote>
  <w:footnote w:id="30">
    <w:p w:rsidR="00FA249F" w:rsidRDefault="00FA249F">
      <w:pPr>
        <w:pStyle w:val="Funotentext"/>
      </w:pPr>
      <w:r>
        <w:rPr>
          <w:rStyle w:val="Funotenzeichen"/>
        </w:rPr>
        <w:footnoteRef/>
      </w:r>
      <w:r>
        <w:t xml:space="preserve"> </w:t>
      </w:r>
      <w:proofErr w:type="spellStart"/>
      <w:r>
        <w:t>Plum</w:t>
      </w:r>
      <w:proofErr w:type="spellEnd"/>
      <w:r>
        <w:t xml:space="preserve">: </w:t>
      </w:r>
      <w:r w:rsidRPr="00B36386">
        <w:rPr>
          <w:i/>
        </w:rPr>
        <w:t>Deutsche Juden</w:t>
      </w:r>
      <w:r>
        <w:rPr>
          <w:i/>
        </w:rPr>
        <w:t>,</w:t>
      </w:r>
      <w:r>
        <w:t xml:space="preserve"> S. 63.</w:t>
      </w:r>
    </w:p>
  </w:footnote>
  <w:footnote w:id="31">
    <w:p w:rsidR="00FA249F" w:rsidRDefault="00FA249F">
      <w:pPr>
        <w:pStyle w:val="Funotentext"/>
      </w:pPr>
      <w:r>
        <w:rPr>
          <w:rStyle w:val="Funotenzeichen"/>
        </w:rPr>
        <w:footnoteRef/>
      </w:r>
      <w:r>
        <w:t xml:space="preserve"> </w:t>
      </w:r>
      <w:proofErr w:type="spellStart"/>
      <w:r>
        <w:t>Plum</w:t>
      </w:r>
      <w:proofErr w:type="spellEnd"/>
      <w:r>
        <w:t xml:space="preserve">: </w:t>
      </w:r>
      <w:r w:rsidRPr="00B36386">
        <w:rPr>
          <w:i/>
        </w:rPr>
        <w:t>Deutsche Juden</w:t>
      </w:r>
      <w:r>
        <w:t xml:space="preserve"> S. 64.</w:t>
      </w:r>
    </w:p>
  </w:footnote>
  <w:footnote w:id="32">
    <w:p w:rsidR="00FA249F" w:rsidRDefault="00FA249F">
      <w:pPr>
        <w:pStyle w:val="Funotentext"/>
      </w:pPr>
      <w:r>
        <w:rPr>
          <w:rStyle w:val="Funotenzeichen"/>
        </w:rPr>
        <w:footnoteRef/>
      </w:r>
      <w:r>
        <w:t xml:space="preserve"> </w:t>
      </w:r>
      <w:proofErr w:type="spellStart"/>
      <w:r>
        <w:t>Richarz</w:t>
      </w:r>
      <w:proofErr w:type="spellEnd"/>
      <w:r>
        <w:t xml:space="preserve">: </w:t>
      </w:r>
      <w:r>
        <w:rPr>
          <w:i/>
        </w:rPr>
        <w:t>Jüdisches Leben,</w:t>
      </w:r>
      <w:r>
        <w:t xml:space="preserve"> S. 44.</w:t>
      </w:r>
    </w:p>
  </w:footnote>
  <w:footnote w:id="33">
    <w:p w:rsidR="00FA249F" w:rsidRDefault="00FA249F">
      <w:pPr>
        <w:pStyle w:val="Funotentext"/>
      </w:pPr>
      <w:r>
        <w:rPr>
          <w:rStyle w:val="Funotenzeichen"/>
        </w:rPr>
        <w:footnoteRef/>
      </w:r>
      <w:r>
        <w:t xml:space="preserve"> S. 46.</w:t>
      </w:r>
    </w:p>
  </w:footnote>
  <w:footnote w:id="34">
    <w:p w:rsidR="00FA249F" w:rsidRDefault="00FA249F">
      <w:pPr>
        <w:pStyle w:val="Funotentext"/>
      </w:pPr>
      <w:r>
        <w:rPr>
          <w:rStyle w:val="Funotenzeichen"/>
        </w:rPr>
        <w:footnoteRef/>
      </w:r>
      <w:r>
        <w:t xml:space="preserve"> S. 46.</w:t>
      </w:r>
    </w:p>
  </w:footnote>
  <w:footnote w:id="35">
    <w:p w:rsidR="004C0809" w:rsidRDefault="004C0809" w:rsidP="004C0809">
      <w:pPr>
        <w:pStyle w:val="Funotentext"/>
      </w:pPr>
      <w:r>
        <w:rPr>
          <w:rStyle w:val="Funotenzeichen"/>
        </w:rPr>
        <w:footnoteRef/>
      </w:r>
      <w:r>
        <w:t xml:space="preserve"> Ich stütze mich dabei auf  </w:t>
      </w:r>
      <w:r w:rsidRPr="00207518">
        <w:t>Wolf Gruner</w:t>
      </w:r>
      <w:r>
        <w:t xml:space="preserve">s „Einleitung“ zu </w:t>
      </w:r>
      <w:r w:rsidRPr="00207518">
        <w:rPr>
          <w:i/>
        </w:rPr>
        <w:t xml:space="preserve"> </w:t>
      </w:r>
      <w:r w:rsidRPr="00207518">
        <w:t>Bd. 1</w:t>
      </w:r>
      <w:r>
        <w:t xml:space="preserve"> von </w:t>
      </w:r>
      <w:r w:rsidRPr="00207518">
        <w:rPr>
          <w:i/>
        </w:rPr>
        <w:t>Die Verfolgung und Ermordung</w:t>
      </w:r>
      <w:r>
        <w:rPr>
          <w:i/>
        </w:rPr>
        <w:t xml:space="preserve"> der eur</w:t>
      </w:r>
      <w:r>
        <w:rPr>
          <w:i/>
        </w:rPr>
        <w:t>o</w:t>
      </w:r>
      <w:r>
        <w:rPr>
          <w:i/>
        </w:rPr>
        <w:t>päischen Juden durch das nationalsozialistische Deutschland 1933 – 1945.</w:t>
      </w:r>
      <w:r>
        <w:t xml:space="preserve"> München 2008.</w:t>
      </w:r>
      <w:r w:rsidRPr="00207518">
        <w:t xml:space="preserve"> </w:t>
      </w:r>
    </w:p>
  </w:footnote>
  <w:footnote w:id="36">
    <w:p w:rsidR="00FA249F" w:rsidRDefault="00FA249F">
      <w:pPr>
        <w:pStyle w:val="Funotentext"/>
      </w:pPr>
      <w:r>
        <w:rPr>
          <w:rStyle w:val="Funotenzeichen"/>
        </w:rPr>
        <w:footnoteRef/>
      </w:r>
      <w:r>
        <w:t xml:space="preserve"> A.a.O., S. 41.</w:t>
      </w:r>
    </w:p>
  </w:footnote>
  <w:footnote w:id="37">
    <w:p w:rsidR="00FA249F" w:rsidRDefault="00FA249F">
      <w:pPr>
        <w:pStyle w:val="Funotentext"/>
      </w:pPr>
      <w:r>
        <w:rPr>
          <w:rStyle w:val="Funotenzeichen"/>
        </w:rPr>
        <w:footnoteRef/>
      </w:r>
      <w:r>
        <w:t xml:space="preserve"> Ebd.</w:t>
      </w:r>
    </w:p>
  </w:footnote>
  <w:footnote w:id="38">
    <w:p w:rsidR="00FA249F" w:rsidRDefault="00FA249F" w:rsidP="00056AA8">
      <w:pPr>
        <w:pStyle w:val="Funotentext"/>
      </w:pPr>
      <w:r>
        <w:rPr>
          <w:rStyle w:val="Funotenzeichen"/>
        </w:rPr>
        <w:footnoteRef/>
      </w:r>
      <w:r>
        <w:t xml:space="preserve"> S. 42.</w:t>
      </w:r>
    </w:p>
  </w:footnote>
  <w:footnote w:id="39">
    <w:p w:rsidR="00FA249F" w:rsidRDefault="00FA249F" w:rsidP="00056AA8">
      <w:pPr>
        <w:pStyle w:val="Funotentext"/>
      </w:pPr>
      <w:r>
        <w:rPr>
          <w:rStyle w:val="Funotenzeichen"/>
        </w:rPr>
        <w:footnoteRef/>
      </w:r>
      <w:r>
        <w:t xml:space="preserve"> S. 43.</w:t>
      </w:r>
    </w:p>
  </w:footnote>
  <w:footnote w:id="40">
    <w:p w:rsidR="00FA249F" w:rsidRDefault="00FA249F" w:rsidP="00056AA8">
      <w:pPr>
        <w:pStyle w:val="Funotentext"/>
      </w:pPr>
      <w:r>
        <w:rPr>
          <w:rStyle w:val="Funotenzeichen"/>
        </w:rPr>
        <w:footnoteRef/>
      </w:r>
      <w:r>
        <w:t xml:space="preserve"> S. 41.</w:t>
      </w:r>
    </w:p>
  </w:footnote>
  <w:footnote w:id="41">
    <w:p w:rsidR="00FA249F" w:rsidRDefault="00FA249F">
      <w:pPr>
        <w:pStyle w:val="Funotentext"/>
      </w:pPr>
      <w:r>
        <w:rPr>
          <w:rStyle w:val="Funotenzeichen"/>
        </w:rPr>
        <w:footnoteRef/>
      </w:r>
      <w:r>
        <w:t xml:space="preserve"> S. 42.</w:t>
      </w:r>
    </w:p>
  </w:footnote>
  <w:footnote w:id="42">
    <w:p w:rsidR="00FA249F" w:rsidRDefault="00FA249F" w:rsidP="00E318F7">
      <w:pPr>
        <w:pStyle w:val="Funotentext"/>
      </w:pPr>
      <w:r>
        <w:rPr>
          <w:rStyle w:val="Funotenzeichen"/>
        </w:rPr>
        <w:footnoteRef/>
      </w:r>
      <w:r>
        <w:t xml:space="preserve"> S. 44. Wolf Gruner verweist dazu auf das </w:t>
      </w:r>
      <w:proofErr w:type="spellStart"/>
      <w:r>
        <w:t>Dok</w:t>
      </w:r>
      <w:proofErr w:type="spellEnd"/>
      <w:r>
        <w:t>. 146, eine Besprechung beim Stab des Stellvertreters des Fü</w:t>
      </w:r>
      <w:r>
        <w:t>h</w:t>
      </w:r>
      <w:r>
        <w:t>rers in München am 20. Dezember 1934 über eine „besondere Judengesetzgebung“ (S. 391 f.).</w:t>
      </w:r>
    </w:p>
  </w:footnote>
  <w:footnote w:id="43">
    <w:p w:rsidR="00FA249F" w:rsidRDefault="00FA249F">
      <w:pPr>
        <w:pStyle w:val="Funotentext"/>
      </w:pPr>
      <w:r>
        <w:rPr>
          <w:rStyle w:val="Funotenzeichen"/>
        </w:rPr>
        <w:footnoteRef/>
      </w:r>
      <w:r>
        <w:t xml:space="preserve"> S.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895683"/>
      <w:docPartObj>
        <w:docPartGallery w:val="Page Numbers (Top of Page)"/>
        <w:docPartUnique/>
      </w:docPartObj>
    </w:sdtPr>
    <w:sdtEndPr/>
    <w:sdtContent>
      <w:p w:rsidR="00FA249F" w:rsidRDefault="00FA249F">
        <w:pPr>
          <w:pStyle w:val="Kopfzeile"/>
          <w:jc w:val="right"/>
        </w:pPr>
        <w:r>
          <w:fldChar w:fldCharType="begin"/>
        </w:r>
        <w:r>
          <w:instrText>PAGE   \* MERGEFORMAT</w:instrText>
        </w:r>
        <w:r>
          <w:fldChar w:fldCharType="separate"/>
        </w:r>
        <w:r w:rsidR="00875F56">
          <w:rPr>
            <w:noProof/>
          </w:rPr>
          <w:t>1</w:t>
        </w:r>
        <w:r>
          <w:fldChar w:fldCharType="end"/>
        </w:r>
      </w:p>
    </w:sdtContent>
  </w:sdt>
  <w:p w:rsidR="00FA249F" w:rsidRDefault="00FA24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B2"/>
    <w:rsid w:val="000118AC"/>
    <w:rsid w:val="00014F89"/>
    <w:rsid w:val="00026A4B"/>
    <w:rsid w:val="00056AA8"/>
    <w:rsid w:val="00060BEC"/>
    <w:rsid w:val="00064A0F"/>
    <w:rsid w:val="00075AAA"/>
    <w:rsid w:val="00085D87"/>
    <w:rsid w:val="00087FF8"/>
    <w:rsid w:val="000C2BF9"/>
    <w:rsid w:val="001217D2"/>
    <w:rsid w:val="00135E76"/>
    <w:rsid w:val="00182DD5"/>
    <w:rsid w:val="001C2B20"/>
    <w:rsid w:val="001C31C9"/>
    <w:rsid w:val="001C32FC"/>
    <w:rsid w:val="00202647"/>
    <w:rsid w:val="0020272D"/>
    <w:rsid w:val="00207518"/>
    <w:rsid w:val="00252A41"/>
    <w:rsid w:val="00252BDD"/>
    <w:rsid w:val="00263886"/>
    <w:rsid w:val="002757B7"/>
    <w:rsid w:val="002A652C"/>
    <w:rsid w:val="002B47F1"/>
    <w:rsid w:val="002C057A"/>
    <w:rsid w:val="002F09B3"/>
    <w:rsid w:val="00313143"/>
    <w:rsid w:val="00335B8D"/>
    <w:rsid w:val="00347019"/>
    <w:rsid w:val="003941C0"/>
    <w:rsid w:val="00397A74"/>
    <w:rsid w:val="003A3F8E"/>
    <w:rsid w:val="003E2D08"/>
    <w:rsid w:val="003E3ADC"/>
    <w:rsid w:val="003E4F5B"/>
    <w:rsid w:val="004038A0"/>
    <w:rsid w:val="00412E26"/>
    <w:rsid w:val="0042469F"/>
    <w:rsid w:val="0044668B"/>
    <w:rsid w:val="0049488A"/>
    <w:rsid w:val="004B1FE0"/>
    <w:rsid w:val="004C0809"/>
    <w:rsid w:val="004C3712"/>
    <w:rsid w:val="004C46DE"/>
    <w:rsid w:val="004E0936"/>
    <w:rsid w:val="004E29B7"/>
    <w:rsid w:val="004F012B"/>
    <w:rsid w:val="005201E6"/>
    <w:rsid w:val="00524EFA"/>
    <w:rsid w:val="00536871"/>
    <w:rsid w:val="00546963"/>
    <w:rsid w:val="00561391"/>
    <w:rsid w:val="00571274"/>
    <w:rsid w:val="005726A7"/>
    <w:rsid w:val="00590BAD"/>
    <w:rsid w:val="00596254"/>
    <w:rsid w:val="005A03AF"/>
    <w:rsid w:val="005A6755"/>
    <w:rsid w:val="005D197F"/>
    <w:rsid w:val="005D6E35"/>
    <w:rsid w:val="005F4543"/>
    <w:rsid w:val="006017F0"/>
    <w:rsid w:val="00632666"/>
    <w:rsid w:val="00660D1F"/>
    <w:rsid w:val="006777A3"/>
    <w:rsid w:val="006B0A63"/>
    <w:rsid w:val="00735591"/>
    <w:rsid w:val="007625D5"/>
    <w:rsid w:val="0076603A"/>
    <w:rsid w:val="00783486"/>
    <w:rsid w:val="007A1844"/>
    <w:rsid w:val="007C7A7A"/>
    <w:rsid w:val="00803081"/>
    <w:rsid w:val="00805EFE"/>
    <w:rsid w:val="00806807"/>
    <w:rsid w:val="00820F48"/>
    <w:rsid w:val="00821B6A"/>
    <w:rsid w:val="00822A0D"/>
    <w:rsid w:val="00823574"/>
    <w:rsid w:val="00823B96"/>
    <w:rsid w:val="0083337F"/>
    <w:rsid w:val="008427D7"/>
    <w:rsid w:val="008465CE"/>
    <w:rsid w:val="00875F56"/>
    <w:rsid w:val="008779B2"/>
    <w:rsid w:val="00895AEE"/>
    <w:rsid w:val="008A2118"/>
    <w:rsid w:val="008C12BF"/>
    <w:rsid w:val="008C33D9"/>
    <w:rsid w:val="00922E12"/>
    <w:rsid w:val="00927865"/>
    <w:rsid w:val="0098217C"/>
    <w:rsid w:val="009979D8"/>
    <w:rsid w:val="009A44D4"/>
    <w:rsid w:val="009A6974"/>
    <w:rsid w:val="009B1F35"/>
    <w:rsid w:val="009C03AC"/>
    <w:rsid w:val="009C6B4A"/>
    <w:rsid w:val="00A007C9"/>
    <w:rsid w:val="00A47E0E"/>
    <w:rsid w:val="00A516F1"/>
    <w:rsid w:val="00A73253"/>
    <w:rsid w:val="00AA0645"/>
    <w:rsid w:val="00AB4A9D"/>
    <w:rsid w:val="00AC36F2"/>
    <w:rsid w:val="00AF2F71"/>
    <w:rsid w:val="00B131D4"/>
    <w:rsid w:val="00B36386"/>
    <w:rsid w:val="00B41EA9"/>
    <w:rsid w:val="00B467B4"/>
    <w:rsid w:val="00B67C3F"/>
    <w:rsid w:val="00B70ACE"/>
    <w:rsid w:val="00B77418"/>
    <w:rsid w:val="00B838F8"/>
    <w:rsid w:val="00B87B46"/>
    <w:rsid w:val="00BB03A7"/>
    <w:rsid w:val="00BD694F"/>
    <w:rsid w:val="00BE068D"/>
    <w:rsid w:val="00BF308A"/>
    <w:rsid w:val="00BF522F"/>
    <w:rsid w:val="00C26AFF"/>
    <w:rsid w:val="00C33475"/>
    <w:rsid w:val="00C5210F"/>
    <w:rsid w:val="00C61F6F"/>
    <w:rsid w:val="00C913B9"/>
    <w:rsid w:val="00C9448C"/>
    <w:rsid w:val="00C959EF"/>
    <w:rsid w:val="00CA29E9"/>
    <w:rsid w:val="00CB520E"/>
    <w:rsid w:val="00CC2253"/>
    <w:rsid w:val="00CC6FE5"/>
    <w:rsid w:val="00CD15F4"/>
    <w:rsid w:val="00CE0283"/>
    <w:rsid w:val="00CF0C7A"/>
    <w:rsid w:val="00D02EE1"/>
    <w:rsid w:val="00D03E4F"/>
    <w:rsid w:val="00D243AA"/>
    <w:rsid w:val="00D57DBD"/>
    <w:rsid w:val="00D82B7F"/>
    <w:rsid w:val="00D8465F"/>
    <w:rsid w:val="00D929DF"/>
    <w:rsid w:val="00DB07BD"/>
    <w:rsid w:val="00DB1DFD"/>
    <w:rsid w:val="00DB2E7F"/>
    <w:rsid w:val="00DB3F13"/>
    <w:rsid w:val="00DE450F"/>
    <w:rsid w:val="00DF5B08"/>
    <w:rsid w:val="00DF6F34"/>
    <w:rsid w:val="00E318F7"/>
    <w:rsid w:val="00E643C2"/>
    <w:rsid w:val="00E75763"/>
    <w:rsid w:val="00E81DDC"/>
    <w:rsid w:val="00EB5030"/>
    <w:rsid w:val="00EC21A2"/>
    <w:rsid w:val="00ED2F75"/>
    <w:rsid w:val="00EF3FFC"/>
    <w:rsid w:val="00F357FE"/>
    <w:rsid w:val="00F40352"/>
    <w:rsid w:val="00FA249F"/>
    <w:rsid w:val="00FB6A82"/>
    <w:rsid w:val="00FC7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7F1"/>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5B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5B08"/>
    <w:rPr>
      <w:rFonts w:ascii="Times New Roman" w:hAnsi="Times New Roman" w:cs="Times New Roman"/>
      <w:sz w:val="24"/>
      <w:szCs w:val="24"/>
    </w:rPr>
  </w:style>
  <w:style w:type="paragraph" w:styleId="Fuzeile">
    <w:name w:val="footer"/>
    <w:basedOn w:val="Standard"/>
    <w:link w:val="FuzeileZchn"/>
    <w:uiPriority w:val="99"/>
    <w:unhideWhenUsed/>
    <w:rsid w:val="00DF5B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5B08"/>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DF5B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5B08"/>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DF5B08"/>
    <w:rPr>
      <w:vertAlign w:val="superscript"/>
    </w:rPr>
  </w:style>
  <w:style w:type="paragraph" w:styleId="Sprechblasentext">
    <w:name w:val="Balloon Text"/>
    <w:basedOn w:val="Standard"/>
    <w:link w:val="SprechblasentextZchn"/>
    <w:uiPriority w:val="99"/>
    <w:semiHidden/>
    <w:unhideWhenUsed/>
    <w:rsid w:val="00CF0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7F1"/>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5B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5B08"/>
    <w:rPr>
      <w:rFonts w:ascii="Times New Roman" w:hAnsi="Times New Roman" w:cs="Times New Roman"/>
      <w:sz w:val="24"/>
      <w:szCs w:val="24"/>
    </w:rPr>
  </w:style>
  <w:style w:type="paragraph" w:styleId="Fuzeile">
    <w:name w:val="footer"/>
    <w:basedOn w:val="Standard"/>
    <w:link w:val="FuzeileZchn"/>
    <w:uiPriority w:val="99"/>
    <w:unhideWhenUsed/>
    <w:rsid w:val="00DF5B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5B08"/>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DF5B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5B08"/>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DF5B08"/>
    <w:rPr>
      <w:vertAlign w:val="superscript"/>
    </w:rPr>
  </w:style>
  <w:style w:type="paragraph" w:styleId="Sprechblasentext">
    <w:name w:val="Balloon Text"/>
    <w:basedOn w:val="Standard"/>
    <w:link w:val="SprechblasentextZchn"/>
    <w:uiPriority w:val="99"/>
    <w:semiHidden/>
    <w:unhideWhenUsed/>
    <w:rsid w:val="00CF0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CFC3-F977-4A37-966D-9D9D586E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4209</Words>
  <Characters>26518</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4</cp:revision>
  <cp:lastPrinted>2012-08-09T13:32:00Z</cp:lastPrinted>
  <dcterms:created xsi:type="dcterms:W3CDTF">2012-08-09T13:34:00Z</dcterms:created>
  <dcterms:modified xsi:type="dcterms:W3CDTF">2012-08-09T13:36:00Z</dcterms:modified>
</cp:coreProperties>
</file>