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87" w:rsidRPr="0080160C" w:rsidRDefault="00444859" w:rsidP="00064A6D">
      <w:pPr>
        <w:spacing w:after="0"/>
        <w:rPr>
          <w:b/>
        </w:rPr>
      </w:pPr>
      <w:r>
        <w:rPr>
          <w:b/>
        </w:rPr>
        <w:t xml:space="preserve">(3) </w:t>
      </w:r>
      <w:r w:rsidR="00AC5987" w:rsidRPr="0080160C">
        <w:rPr>
          <w:b/>
        </w:rPr>
        <w:t xml:space="preserve">Texte I: </w:t>
      </w:r>
      <w:r w:rsidR="00E758C9" w:rsidRPr="0080160C">
        <w:rPr>
          <w:b/>
        </w:rPr>
        <w:t xml:space="preserve">Autobiografische Rückschau </w:t>
      </w:r>
      <w:r w:rsidR="008A0EF5" w:rsidRPr="0080160C">
        <w:rPr>
          <w:b/>
        </w:rPr>
        <w:t>1939</w:t>
      </w:r>
      <w:r w:rsidR="00155D91" w:rsidRPr="0080160C">
        <w:rPr>
          <w:b/>
        </w:rPr>
        <w:t>/</w:t>
      </w:r>
      <w:r w:rsidR="008A0EF5" w:rsidRPr="0080160C">
        <w:rPr>
          <w:b/>
        </w:rPr>
        <w:t>40</w:t>
      </w:r>
    </w:p>
    <w:p w:rsidR="00FE0FF1" w:rsidRPr="0080160C" w:rsidRDefault="00FE0FF1" w:rsidP="00FE0FF1">
      <w:pPr>
        <w:spacing w:after="0"/>
        <w:rPr>
          <w:b/>
        </w:rPr>
      </w:pPr>
    </w:p>
    <w:p w:rsidR="000C4DA3" w:rsidRDefault="00E758C9" w:rsidP="00D87B79">
      <w:pPr>
        <w:spacing w:after="0"/>
        <w:jc w:val="both"/>
      </w:pPr>
      <w:r w:rsidRPr="0080160C">
        <w:t xml:space="preserve">In unmittelbarer zeitlicher Nähe zu den Ereignissen der ersten Jahreshälfte 1933 entstand eine Reihe </w:t>
      </w:r>
      <w:r w:rsidR="008A0EF5" w:rsidRPr="0080160C">
        <w:t xml:space="preserve">von </w:t>
      </w:r>
      <w:r w:rsidR="004C5F2B" w:rsidRPr="0080160C">
        <w:t>Bücher</w:t>
      </w:r>
      <w:r w:rsidR="008A0EF5" w:rsidRPr="0080160C">
        <w:t>n</w:t>
      </w:r>
      <w:r w:rsidRPr="0080160C">
        <w:t xml:space="preserve">, </w:t>
      </w:r>
      <w:r w:rsidR="008A0EF5" w:rsidRPr="0080160C">
        <w:t>die die</w:t>
      </w:r>
      <w:r w:rsidR="004C5F2B" w:rsidRPr="0080160C">
        <w:t>se</w:t>
      </w:r>
      <w:r w:rsidR="008A0EF5" w:rsidRPr="0080160C">
        <w:t xml:space="preserve"> Vorgänge thematisieren: </w:t>
      </w:r>
      <w:r w:rsidRPr="0080160C">
        <w:t xml:space="preserve">so Jan Petersens </w:t>
      </w:r>
      <w:r w:rsidRPr="0080160C">
        <w:rPr>
          <w:i/>
        </w:rPr>
        <w:t>Unsere Straße</w:t>
      </w:r>
      <w:r w:rsidRPr="0080160C">
        <w:t xml:space="preserve">, Gerhart </w:t>
      </w:r>
      <w:proofErr w:type="spellStart"/>
      <w:r w:rsidRPr="0080160C">
        <w:t>Segers</w:t>
      </w:r>
      <w:proofErr w:type="spellEnd"/>
      <w:r w:rsidRPr="0080160C">
        <w:t xml:space="preserve"> </w:t>
      </w:r>
      <w:r w:rsidRPr="0080160C">
        <w:rPr>
          <w:i/>
        </w:rPr>
        <w:t>Oranienburg</w:t>
      </w:r>
      <w:r w:rsidRPr="0080160C">
        <w:t xml:space="preserve">, </w:t>
      </w:r>
      <w:proofErr w:type="spellStart"/>
      <w:r w:rsidRPr="0080160C">
        <w:t>Balder</w:t>
      </w:r>
      <w:proofErr w:type="spellEnd"/>
      <w:r w:rsidRPr="0080160C">
        <w:t xml:space="preserve"> </w:t>
      </w:r>
      <w:proofErr w:type="spellStart"/>
      <w:r w:rsidRPr="0080160C">
        <w:t>Oldens</w:t>
      </w:r>
      <w:proofErr w:type="spellEnd"/>
      <w:r w:rsidRPr="0080160C">
        <w:t xml:space="preserve"> </w:t>
      </w:r>
      <w:r w:rsidRPr="0080160C">
        <w:rPr>
          <w:i/>
        </w:rPr>
        <w:t>Roman eines Nazi</w:t>
      </w:r>
      <w:r w:rsidR="004C5F2B" w:rsidRPr="0080160C">
        <w:rPr>
          <w:i/>
        </w:rPr>
        <w:t>,</w:t>
      </w:r>
      <w:r w:rsidRPr="0080160C">
        <w:t xml:space="preserve"> Will </w:t>
      </w:r>
      <w:proofErr w:type="spellStart"/>
      <w:r w:rsidRPr="0080160C">
        <w:t>Bredels</w:t>
      </w:r>
      <w:proofErr w:type="spellEnd"/>
      <w:r w:rsidRPr="0080160C">
        <w:t xml:space="preserve"> </w:t>
      </w:r>
      <w:r w:rsidRPr="0080160C">
        <w:rPr>
          <w:i/>
        </w:rPr>
        <w:t>Die Prüfung</w:t>
      </w:r>
      <w:r w:rsidR="00155D91" w:rsidRPr="0080160C">
        <w:t xml:space="preserve">, Walter </w:t>
      </w:r>
      <w:proofErr w:type="spellStart"/>
      <w:r w:rsidR="00155D91" w:rsidRPr="0080160C">
        <w:t>Schönstedts</w:t>
      </w:r>
      <w:proofErr w:type="spellEnd"/>
      <w:r w:rsidR="00155D91" w:rsidRPr="0080160C">
        <w:t xml:space="preserve"> </w:t>
      </w:r>
      <w:r w:rsidR="00155D91" w:rsidRPr="0080160C">
        <w:rPr>
          <w:i/>
        </w:rPr>
        <w:t>Auf der Flucht erschossen</w:t>
      </w:r>
      <w:r w:rsidRPr="0080160C">
        <w:t xml:space="preserve">. </w:t>
      </w:r>
      <w:r w:rsidR="008A0EF5" w:rsidRPr="0080160C">
        <w:t xml:space="preserve">Die Texte gelten </w:t>
      </w:r>
      <w:r w:rsidR="008611E8" w:rsidRPr="0080160C">
        <w:t>gemeinhin als zentrale Be</w:t>
      </w:r>
      <w:r w:rsidR="008611E8" w:rsidRPr="0080160C">
        <w:t>i</w:t>
      </w:r>
      <w:r w:rsidR="008611E8" w:rsidRPr="0080160C">
        <w:t xml:space="preserve">spiele der Exilliteratur. Gerade darin besteht jedoch </w:t>
      </w:r>
      <w:r w:rsidR="004C5F2B" w:rsidRPr="0080160C">
        <w:t>das Problem</w:t>
      </w:r>
      <w:r w:rsidR="008611E8" w:rsidRPr="0080160C">
        <w:t xml:space="preserve">: Sie </w:t>
      </w:r>
      <w:r w:rsidR="008A0EF5" w:rsidRPr="0080160C">
        <w:t xml:space="preserve">treten dem Leser </w:t>
      </w:r>
      <w:r w:rsidR="00C34208" w:rsidRPr="0080160C">
        <w:t xml:space="preserve">zwar </w:t>
      </w:r>
      <w:r w:rsidR="008A0EF5" w:rsidRPr="0080160C">
        <w:t xml:space="preserve">mit </w:t>
      </w:r>
      <w:r w:rsidR="004C5F2B" w:rsidRPr="0080160C">
        <w:t>deutlichem</w:t>
      </w:r>
      <w:r w:rsidR="008611E8" w:rsidRPr="0080160C">
        <w:t xml:space="preserve"> </w:t>
      </w:r>
      <w:r w:rsidR="008A0EF5" w:rsidRPr="0080160C">
        <w:t>Authentizitätsanspruch entgegen</w:t>
      </w:r>
      <w:r w:rsidR="008611E8" w:rsidRPr="0080160C">
        <w:t xml:space="preserve">, sind </w:t>
      </w:r>
      <w:r w:rsidR="00C34208" w:rsidRPr="0080160C">
        <w:t xml:space="preserve">aber </w:t>
      </w:r>
      <w:r w:rsidR="008611E8" w:rsidRPr="0080160C">
        <w:t>gleich</w:t>
      </w:r>
      <w:r w:rsidR="004C5F2B" w:rsidRPr="0080160C">
        <w:t>zeitig auch</w:t>
      </w:r>
      <w:r w:rsidR="008611E8" w:rsidRPr="0080160C">
        <w:t xml:space="preserve"> geprägt von der z</w:t>
      </w:r>
      <w:r w:rsidR="008A0EF5" w:rsidRPr="0080160C">
        <w:t>eittypisch</w:t>
      </w:r>
      <w:r w:rsidR="008611E8" w:rsidRPr="0080160C">
        <w:t xml:space="preserve">en </w:t>
      </w:r>
      <w:proofErr w:type="spellStart"/>
      <w:r w:rsidR="008A0EF5" w:rsidRPr="0080160C">
        <w:t>Perspektivik</w:t>
      </w:r>
      <w:proofErr w:type="spellEnd"/>
      <w:r w:rsidR="004C5F2B" w:rsidRPr="0080160C">
        <w:t xml:space="preserve">: einem Optimismus, der uns heute </w:t>
      </w:r>
      <w:r w:rsidR="008611E8" w:rsidRPr="0080160C">
        <w:t xml:space="preserve">als </w:t>
      </w:r>
      <w:r w:rsidR="008A0EF5" w:rsidRPr="0080160C">
        <w:t xml:space="preserve">unangemessen </w:t>
      </w:r>
      <w:r w:rsidR="004C5F2B" w:rsidRPr="0080160C">
        <w:t>erscheint, und einem politischen Pathos</w:t>
      </w:r>
      <w:r w:rsidR="008A0EF5" w:rsidRPr="0080160C">
        <w:t xml:space="preserve">, </w:t>
      </w:r>
      <w:r w:rsidR="004C5F2B" w:rsidRPr="0080160C">
        <w:t>das wir</w:t>
      </w:r>
      <w:r w:rsidR="008A0EF5" w:rsidRPr="0080160C">
        <w:t xml:space="preserve"> </w:t>
      </w:r>
      <w:r w:rsidR="008611E8" w:rsidRPr="0080160C">
        <w:t xml:space="preserve">als </w:t>
      </w:r>
      <w:r w:rsidR="008A0EF5" w:rsidRPr="0080160C">
        <w:t xml:space="preserve">forciert </w:t>
      </w:r>
      <w:r w:rsidR="004C5F2B" w:rsidRPr="0080160C">
        <w:t>und künstlich empfinden</w:t>
      </w:r>
      <w:r w:rsidR="008A0EF5" w:rsidRPr="0080160C">
        <w:t>.</w:t>
      </w:r>
      <w:r w:rsidR="000C4DA3">
        <w:t xml:space="preserve"> </w:t>
      </w:r>
      <w:r w:rsidR="00C34208" w:rsidRPr="0080160C">
        <w:t>Es bietet sich deshalb an, eine Reihe von autobiografischen Texten heranzuziehen, die in den Jahren 1939/40 en</w:t>
      </w:r>
      <w:r w:rsidR="00C34208" w:rsidRPr="0080160C">
        <w:t>t</w:t>
      </w:r>
      <w:r w:rsidR="00C34208" w:rsidRPr="0080160C">
        <w:t>standen</w:t>
      </w:r>
      <w:r w:rsidR="00802DD9" w:rsidRPr="0080160C">
        <w:t>, also die Vorgänge in ihrer Entwicklung und aus größerer Distanz darstellen</w:t>
      </w:r>
      <w:r w:rsidR="00C34208" w:rsidRPr="0080160C">
        <w:t xml:space="preserve">. </w:t>
      </w:r>
    </w:p>
    <w:p w:rsidR="000C4DA3" w:rsidRDefault="000C4DA3" w:rsidP="00D87B79">
      <w:pPr>
        <w:spacing w:after="0"/>
        <w:jc w:val="both"/>
      </w:pPr>
    </w:p>
    <w:p w:rsidR="000C4DA3" w:rsidRPr="000C4DA3" w:rsidRDefault="000C4DA3" w:rsidP="00D87B79">
      <w:pPr>
        <w:spacing w:after="0"/>
        <w:jc w:val="both"/>
        <w:rPr>
          <w:b/>
          <w:i/>
        </w:rPr>
      </w:pPr>
      <w:r>
        <w:rPr>
          <w:b/>
        </w:rPr>
        <w:t xml:space="preserve">Sebastian Haffner: </w:t>
      </w:r>
      <w:r>
        <w:rPr>
          <w:b/>
          <w:i/>
        </w:rPr>
        <w:t>Geschichte eines Deutschen</w:t>
      </w:r>
    </w:p>
    <w:p w:rsidR="00C34208" w:rsidRPr="0080160C" w:rsidRDefault="008611E8" w:rsidP="00D87B79">
      <w:pPr>
        <w:spacing w:after="0"/>
        <w:ind w:firstLine="708"/>
        <w:jc w:val="both"/>
      </w:pPr>
      <w:r w:rsidRPr="0080160C">
        <w:t xml:space="preserve">Der analytisch faszinierendste </w:t>
      </w:r>
      <w:r w:rsidR="00C34208" w:rsidRPr="0080160C">
        <w:t>davon</w:t>
      </w:r>
      <w:r w:rsidRPr="0080160C">
        <w:t xml:space="preserve"> ist vermutlich Sebastian Haffners </w:t>
      </w:r>
      <w:r w:rsidRPr="0080160C">
        <w:rPr>
          <w:i/>
        </w:rPr>
        <w:t>Geschichte e</w:t>
      </w:r>
      <w:r w:rsidRPr="0080160C">
        <w:rPr>
          <w:i/>
        </w:rPr>
        <w:t>i</w:t>
      </w:r>
      <w:r w:rsidRPr="0080160C">
        <w:rPr>
          <w:i/>
        </w:rPr>
        <w:t>nes Deutschen.</w:t>
      </w:r>
      <w:r w:rsidRPr="0080160C">
        <w:t xml:space="preserve"> </w:t>
      </w:r>
      <w:r w:rsidR="00155D91" w:rsidRPr="0080160C">
        <w:t>– H</w:t>
      </w:r>
      <w:r w:rsidRPr="0080160C">
        <w:t xml:space="preserve">affner </w:t>
      </w:r>
      <w:r w:rsidR="00802DD9" w:rsidRPr="0080160C">
        <w:t xml:space="preserve">(Raimund </w:t>
      </w:r>
      <w:proofErr w:type="spellStart"/>
      <w:r w:rsidR="00802DD9" w:rsidRPr="0080160C">
        <w:t>Pretzel</w:t>
      </w:r>
      <w:proofErr w:type="spellEnd"/>
      <w:r w:rsidR="00802DD9" w:rsidRPr="0080160C">
        <w:t xml:space="preserve">) </w:t>
      </w:r>
      <w:r w:rsidR="004A1D63" w:rsidRPr="0080160C">
        <w:t>war</w:t>
      </w:r>
      <w:r w:rsidR="003908D0" w:rsidRPr="0080160C">
        <w:t xml:space="preserve"> im August 193</w:t>
      </w:r>
      <w:r w:rsidR="00C34208" w:rsidRPr="0080160C">
        <w:t>8</w:t>
      </w:r>
      <w:r w:rsidR="003908D0" w:rsidRPr="0080160C">
        <w:t xml:space="preserve"> nach Großbritannien</w:t>
      </w:r>
      <w:r w:rsidR="004A1D63" w:rsidRPr="0080160C">
        <w:t xml:space="preserve"> em</w:t>
      </w:r>
      <w:r w:rsidR="004A1D63" w:rsidRPr="0080160C">
        <w:t>i</w:t>
      </w:r>
      <w:r w:rsidR="004A1D63" w:rsidRPr="0080160C">
        <w:t>griert</w:t>
      </w:r>
      <w:r w:rsidR="003908D0" w:rsidRPr="0080160C">
        <w:t xml:space="preserve">. </w:t>
      </w:r>
      <w:r w:rsidR="00C34208" w:rsidRPr="0080160C">
        <w:t>D</w:t>
      </w:r>
      <w:r w:rsidR="003908D0" w:rsidRPr="0080160C">
        <w:t xml:space="preserve">er Aufenthalt in Deutschland </w:t>
      </w:r>
      <w:r w:rsidR="00C34208" w:rsidRPr="0080160C">
        <w:t xml:space="preserve">war ihm </w:t>
      </w:r>
      <w:r w:rsidR="003908D0" w:rsidRPr="0080160C">
        <w:t xml:space="preserve">unerträglich geworden. </w:t>
      </w:r>
      <w:r w:rsidR="00155D91" w:rsidRPr="0080160C">
        <w:t xml:space="preserve">Zwar </w:t>
      </w:r>
      <w:r w:rsidR="004A1D63" w:rsidRPr="0080160C">
        <w:t xml:space="preserve">hatte </w:t>
      </w:r>
      <w:r w:rsidR="00155D91" w:rsidRPr="0080160C">
        <w:t>er</w:t>
      </w:r>
      <w:r w:rsidR="004A1D63" w:rsidRPr="0080160C">
        <w:t xml:space="preserve"> sein Jur</w:t>
      </w:r>
      <w:r w:rsidR="004A1D63" w:rsidRPr="0080160C">
        <w:t>a</w:t>
      </w:r>
      <w:r w:rsidR="004A1D63" w:rsidRPr="0080160C">
        <w:t xml:space="preserve">studium </w:t>
      </w:r>
      <w:r w:rsidR="00802DD9" w:rsidRPr="0080160C">
        <w:t xml:space="preserve">noch </w:t>
      </w:r>
      <w:r w:rsidR="00C34208" w:rsidRPr="0080160C">
        <w:t xml:space="preserve">mit dem zweiten Staatsexamen </w:t>
      </w:r>
      <w:r w:rsidR="004A1D63" w:rsidRPr="0080160C">
        <w:t xml:space="preserve">abgeschlossen, war </w:t>
      </w:r>
      <w:r w:rsidR="00C34208" w:rsidRPr="0080160C">
        <w:t xml:space="preserve">anschließend </w:t>
      </w:r>
      <w:r w:rsidR="004A1D63" w:rsidRPr="0080160C">
        <w:t>jedoch nicht in den Staatsdienst eingetreten</w:t>
      </w:r>
      <w:r w:rsidR="00C34208" w:rsidRPr="0080160C">
        <w:t xml:space="preserve">, sondern </w:t>
      </w:r>
      <w:r w:rsidR="00155D91" w:rsidRPr="0080160C">
        <w:t>finanziert</w:t>
      </w:r>
      <w:r w:rsidR="00C34208" w:rsidRPr="0080160C">
        <w:t xml:space="preserve">e seinen Lebensunterhalt </w:t>
      </w:r>
      <w:r w:rsidR="00155D91" w:rsidRPr="0080160C">
        <w:t>durch</w:t>
      </w:r>
      <w:r w:rsidR="00C34208" w:rsidRPr="0080160C">
        <w:t xml:space="preserve"> journalistische Arbeiten</w:t>
      </w:r>
      <w:r w:rsidR="004A1D63" w:rsidRPr="0080160C">
        <w:t>.</w:t>
      </w:r>
      <w:r w:rsidR="003908D0" w:rsidRPr="0080160C">
        <w:t xml:space="preserve"> </w:t>
      </w:r>
      <w:r w:rsidR="004A1D63" w:rsidRPr="0080160C">
        <w:t>Mit der Emigration folgte er seiner jüdischen Freundin Erika Landry</w:t>
      </w:r>
      <w:r w:rsidR="00802DD9" w:rsidRPr="0080160C">
        <w:t>, die er wenig später heiratete</w:t>
      </w:r>
      <w:r w:rsidR="004A1D63" w:rsidRPr="0080160C">
        <w:t>.</w:t>
      </w:r>
      <w:r w:rsidR="00C34208" w:rsidRPr="0080160C">
        <w:t xml:space="preserve"> </w:t>
      </w:r>
      <w:r w:rsidR="004A1D63" w:rsidRPr="0080160C">
        <w:t xml:space="preserve">Er </w:t>
      </w:r>
      <w:r w:rsidRPr="0080160C">
        <w:t xml:space="preserve">begann mit der Niederschrift 1939, brach sie dann aber zugunsten seines </w:t>
      </w:r>
      <w:r w:rsidR="00802DD9" w:rsidRPr="0080160C">
        <w:t xml:space="preserve">heute </w:t>
      </w:r>
      <w:r w:rsidR="004A1D63" w:rsidRPr="0080160C">
        <w:t xml:space="preserve">bekannteren Buches </w:t>
      </w:r>
      <w:r w:rsidRPr="0080160C">
        <w:rPr>
          <w:i/>
        </w:rPr>
        <w:t xml:space="preserve">Germany, </w:t>
      </w:r>
      <w:proofErr w:type="spellStart"/>
      <w:r w:rsidRPr="0080160C">
        <w:rPr>
          <w:i/>
        </w:rPr>
        <w:t>Jekyll</w:t>
      </w:r>
      <w:proofErr w:type="spellEnd"/>
      <w:r w:rsidRPr="0080160C">
        <w:rPr>
          <w:i/>
        </w:rPr>
        <w:t xml:space="preserve"> </w:t>
      </w:r>
      <w:proofErr w:type="spellStart"/>
      <w:r w:rsidRPr="0080160C">
        <w:rPr>
          <w:i/>
        </w:rPr>
        <w:t>and</w:t>
      </w:r>
      <w:proofErr w:type="spellEnd"/>
      <w:r w:rsidRPr="0080160C">
        <w:rPr>
          <w:i/>
        </w:rPr>
        <w:t xml:space="preserve"> Hyde</w:t>
      </w:r>
      <w:r w:rsidR="003908D0" w:rsidRPr="0080160C">
        <w:t xml:space="preserve"> (London 1940) ab. </w:t>
      </w:r>
    </w:p>
    <w:p w:rsidR="00843FBE" w:rsidRPr="0080160C" w:rsidRDefault="004A1D63" w:rsidP="00D87B79">
      <w:pPr>
        <w:spacing w:after="0"/>
        <w:ind w:firstLine="708"/>
        <w:jc w:val="both"/>
      </w:pPr>
      <w:r w:rsidRPr="0080160C">
        <w:t xml:space="preserve">Der Grund war vermutlich, dass mit dem Kriegsbeginn die politische </w:t>
      </w:r>
      <w:r w:rsidR="00660D01" w:rsidRPr="0080160C">
        <w:t>Gesamtkonste</w:t>
      </w:r>
      <w:r w:rsidR="00660D01" w:rsidRPr="0080160C">
        <w:t>l</w:t>
      </w:r>
      <w:r w:rsidR="00660D01" w:rsidRPr="0080160C">
        <w:t>lation</w:t>
      </w:r>
      <w:r w:rsidRPr="0080160C">
        <w:t xml:space="preserve"> </w:t>
      </w:r>
      <w:r w:rsidR="00E07097" w:rsidRPr="0080160C">
        <w:t xml:space="preserve">sich </w:t>
      </w:r>
      <w:r w:rsidRPr="0080160C">
        <w:t xml:space="preserve">verändert hatte. </w:t>
      </w:r>
      <w:r w:rsidR="00660D01" w:rsidRPr="0080160C">
        <w:t xml:space="preserve">Damit war auch die Anlage dieses Buches hinfällig geworden. </w:t>
      </w:r>
      <w:r w:rsidRPr="0080160C">
        <w:t xml:space="preserve">Die </w:t>
      </w:r>
      <w:r w:rsidRPr="0080160C">
        <w:rPr>
          <w:i/>
        </w:rPr>
        <w:t>Geschichte eines Deutschen</w:t>
      </w:r>
      <w:r w:rsidRPr="0080160C">
        <w:t xml:space="preserve"> war </w:t>
      </w:r>
      <w:r w:rsidR="00843FBE" w:rsidRPr="0080160C">
        <w:t xml:space="preserve">literarisch-konzeptionell </w:t>
      </w:r>
      <w:r w:rsidRPr="0080160C">
        <w:t xml:space="preserve">als </w:t>
      </w:r>
      <w:r w:rsidR="00843FBE" w:rsidRPr="0080160C">
        <w:t>das</w:t>
      </w:r>
      <w:r w:rsidRPr="0080160C">
        <w:t xml:space="preserve"> „Duell“ eines Privatmannes, des Autors, mit dem Hitler-Regime angelegt</w:t>
      </w:r>
      <w:r w:rsidR="00660D01" w:rsidRPr="0080160C">
        <w:t>: als</w:t>
      </w:r>
      <w:r w:rsidRPr="0080160C">
        <w:t xml:space="preserve"> </w:t>
      </w:r>
      <w:r w:rsidR="00660D01" w:rsidRPr="0080160C">
        <w:t>ein Exempel dafür, dass eigenständiges Denken – Zivilcourage – erforderlich sei, um dem Machtanspruch des NS-Regimes standz</w:t>
      </w:r>
      <w:r w:rsidR="00660D01" w:rsidRPr="0080160C">
        <w:t>u</w:t>
      </w:r>
      <w:r w:rsidR="00660D01" w:rsidRPr="0080160C">
        <w:t xml:space="preserve">halten. </w:t>
      </w:r>
      <w:r w:rsidR="00962512" w:rsidRPr="0080160C">
        <w:t>Die Angelpunkte sollten dabei die Jahre 1932 und 1939 sein</w:t>
      </w:r>
      <w:r w:rsidR="00660D01" w:rsidRPr="0080160C">
        <w:t>: 1932 als die entsche</w:t>
      </w:r>
      <w:r w:rsidR="00660D01" w:rsidRPr="0080160C">
        <w:t>i</w:t>
      </w:r>
      <w:r w:rsidR="00660D01" w:rsidRPr="0080160C">
        <w:t xml:space="preserve">dende Phase </w:t>
      </w:r>
      <w:r w:rsidR="00660D01" w:rsidRPr="0080160C">
        <w:rPr>
          <w:i/>
        </w:rPr>
        <w:t>vor</w:t>
      </w:r>
      <w:r w:rsidR="00660D01" w:rsidRPr="0080160C">
        <w:t xml:space="preserve"> der Übertragung der Macht an Hitler, 1939 als das Jahr </w:t>
      </w:r>
      <w:r w:rsidR="00F21F5D">
        <w:t xml:space="preserve">nach </w:t>
      </w:r>
      <w:r w:rsidR="00660D01" w:rsidRPr="0080160C">
        <w:t xml:space="preserve">der Annexion Österreichs und der Sudetengebiete, also der </w:t>
      </w:r>
      <w:proofErr w:type="spellStart"/>
      <w:r w:rsidR="00660D01" w:rsidRPr="0080160C">
        <w:rPr>
          <w:i/>
        </w:rPr>
        <w:t>Appeasementpolitik</w:t>
      </w:r>
      <w:proofErr w:type="spellEnd"/>
      <w:r w:rsidR="00660D01" w:rsidRPr="0080160C">
        <w:t>.</w:t>
      </w:r>
      <w:r w:rsidR="00962512" w:rsidRPr="0080160C">
        <w:t xml:space="preserve"> </w:t>
      </w:r>
    </w:p>
    <w:p w:rsidR="00681782" w:rsidRPr="0080160C" w:rsidRDefault="00843FBE" w:rsidP="00D87B79">
      <w:pPr>
        <w:spacing w:after="0"/>
        <w:ind w:firstLine="708"/>
        <w:jc w:val="both"/>
      </w:pPr>
      <w:r w:rsidRPr="0080160C">
        <w:t xml:space="preserve">In der </w:t>
      </w:r>
      <w:r w:rsidRPr="0080160C">
        <w:rPr>
          <w:i/>
        </w:rPr>
        <w:t>Geschichte eines Deutschen</w:t>
      </w:r>
      <w:r w:rsidRPr="0080160C">
        <w:t xml:space="preserve"> </w:t>
      </w:r>
      <w:r w:rsidR="00341693" w:rsidRPr="0080160C">
        <w:t>wollte</w:t>
      </w:r>
      <w:r w:rsidRPr="0080160C">
        <w:t xml:space="preserve"> Haffner –</w:t>
      </w:r>
      <w:r w:rsidR="00191C9F">
        <w:t xml:space="preserve"> </w:t>
      </w:r>
      <w:r w:rsidRPr="0080160C">
        <w:t xml:space="preserve">ohne </w:t>
      </w:r>
      <w:r w:rsidR="00802DD9" w:rsidRPr="0080160C">
        <w:t xml:space="preserve">allerdings </w:t>
      </w:r>
      <w:r w:rsidRPr="0080160C">
        <w:t>diesen Sachverhalt direkt zu formulieren – Bezug auf das traditionelle Rechts- und Freiheitsbewusstsein der brit</w:t>
      </w:r>
      <w:r w:rsidRPr="0080160C">
        <w:t>i</w:t>
      </w:r>
      <w:r w:rsidRPr="0080160C">
        <w:t>schen Staats- und Verfassungstradition</w:t>
      </w:r>
      <w:r w:rsidR="00341693" w:rsidRPr="0080160C">
        <w:t xml:space="preserve"> nehmen</w:t>
      </w:r>
      <w:r w:rsidRPr="0080160C">
        <w:t xml:space="preserve">. </w:t>
      </w:r>
      <w:r w:rsidR="00802DD9" w:rsidRPr="0080160C">
        <w:t>Das Thema des</w:t>
      </w:r>
      <w:r w:rsidR="00C93F6D" w:rsidRPr="0080160C">
        <w:t xml:space="preserve"> Buch</w:t>
      </w:r>
      <w:r w:rsidR="00802DD9" w:rsidRPr="0080160C">
        <w:t xml:space="preserve">es war nicht der </w:t>
      </w:r>
      <w:r w:rsidR="00C93F6D" w:rsidRPr="0080160C">
        <w:t>Z</w:t>
      </w:r>
      <w:r w:rsidR="00C93F6D" w:rsidRPr="0080160C">
        <w:t>u</w:t>
      </w:r>
      <w:r w:rsidR="00C93F6D" w:rsidRPr="0080160C">
        <w:t>sammenbruch des deutschen Parlamentarismus</w:t>
      </w:r>
      <w:r w:rsidR="00802DD9" w:rsidRPr="0080160C">
        <w:t xml:space="preserve">, sondern der </w:t>
      </w:r>
      <w:r w:rsidR="00802DD9" w:rsidRPr="0080160C">
        <w:rPr>
          <w:i/>
        </w:rPr>
        <w:t>Zivilisationsbruch</w:t>
      </w:r>
      <w:r w:rsidR="00802DD9" w:rsidRPr="0080160C">
        <w:t>, den das NS-Regime darstellte</w:t>
      </w:r>
      <w:r w:rsidR="00C93F6D" w:rsidRPr="0080160C">
        <w:t xml:space="preserve">. </w:t>
      </w:r>
      <w:r w:rsidR="00802DD9" w:rsidRPr="0080160C">
        <w:t>Entsprechend</w:t>
      </w:r>
      <w:r w:rsidRPr="0080160C">
        <w:t xml:space="preserve"> </w:t>
      </w:r>
      <w:r w:rsidR="00802DD9" w:rsidRPr="0080160C">
        <w:t xml:space="preserve">formulierte </w:t>
      </w:r>
      <w:r w:rsidRPr="0080160C">
        <w:t xml:space="preserve">Haffner in einem Brief an Harald Landry </w:t>
      </w:r>
      <w:r w:rsidR="00802DD9" w:rsidRPr="0080160C">
        <w:t xml:space="preserve">vom Juni 1939: </w:t>
      </w:r>
      <w:r w:rsidRPr="0080160C">
        <w:t>der „Schlachtruf“</w:t>
      </w:r>
      <w:r w:rsidR="00802DD9" w:rsidRPr="0080160C">
        <w:t xml:space="preserve"> sei heute</w:t>
      </w:r>
      <w:r w:rsidRPr="0080160C">
        <w:t xml:space="preserve"> nicht </w:t>
      </w:r>
      <w:r w:rsidR="00802DD9" w:rsidRPr="0080160C">
        <w:t>„</w:t>
      </w:r>
      <w:r w:rsidRPr="0080160C">
        <w:t>Demokratie</w:t>
      </w:r>
      <w:r w:rsidR="00802DD9" w:rsidRPr="0080160C">
        <w:t>“</w:t>
      </w:r>
      <w:r w:rsidRPr="0080160C">
        <w:t>, sondern „Zivilisation“.</w:t>
      </w:r>
      <w:r w:rsidRPr="0080160C">
        <w:rPr>
          <w:rStyle w:val="Funotenzeichen"/>
        </w:rPr>
        <w:footnoteReference w:id="1"/>
      </w:r>
      <w:r w:rsidRPr="0080160C">
        <w:t xml:space="preserve"> Das Buch war darauf angelegt, den Gedanken der Universalität der Menschenrechte zur Grundlage des politischen Kampfes gegen Hitler zu machen. Die NS-Diktatur war für ihn ein Zivilisation</w:t>
      </w:r>
      <w:r w:rsidRPr="0080160C">
        <w:t>s</w:t>
      </w:r>
      <w:r w:rsidRPr="0080160C">
        <w:t>bruch.</w:t>
      </w:r>
    </w:p>
    <w:p w:rsidR="00C30FA2" w:rsidRPr="0080160C" w:rsidRDefault="00681782" w:rsidP="00D87B79">
      <w:pPr>
        <w:spacing w:after="0"/>
        <w:ind w:firstLine="708"/>
        <w:jc w:val="both"/>
      </w:pPr>
      <w:r w:rsidRPr="0080160C">
        <w:t>E</w:t>
      </w:r>
      <w:r w:rsidR="00843FBE" w:rsidRPr="0080160C">
        <w:t xml:space="preserve">ine solche </w:t>
      </w:r>
      <w:r w:rsidRPr="0080160C">
        <w:t xml:space="preserve">Konzeption </w:t>
      </w:r>
      <w:r w:rsidR="00843FBE" w:rsidRPr="0080160C">
        <w:t>war nach Kriegsbeginn</w:t>
      </w:r>
      <w:r w:rsidR="00341693" w:rsidRPr="0080160C">
        <w:t xml:space="preserve"> jedoch</w:t>
      </w:r>
      <w:r w:rsidR="00843FBE" w:rsidRPr="0080160C">
        <w:t xml:space="preserve"> </w:t>
      </w:r>
      <w:r w:rsidRPr="0080160C">
        <w:t>i</w:t>
      </w:r>
      <w:r w:rsidR="00843FBE" w:rsidRPr="0080160C">
        <w:t>llusion</w:t>
      </w:r>
      <w:r w:rsidRPr="0080160C">
        <w:t>är</w:t>
      </w:r>
      <w:r w:rsidR="00843FBE" w:rsidRPr="0080160C">
        <w:t xml:space="preserve">. </w:t>
      </w:r>
      <w:r w:rsidRPr="0080160C">
        <w:t>Jetzt</w:t>
      </w:r>
      <w:r w:rsidR="00C30FA2" w:rsidRPr="0080160C">
        <w:t xml:space="preserve"> war anderes </w:t>
      </w:r>
      <w:r w:rsidR="00C93F6D" w:rsidRPr="0080160C">
        <w:t xml:space="preserve">gefordert: </w:t>
      </w:r>
      <w:r w:rsidR="00341693" w:rsidRPr="0080160C">
        <w:t>militärische</w:t>
      </w:r>
      <w:r w:rsidR="00C30FA2" w:rsidRPr="0080160C">
        <w:t xml:space="preserve"> Widerstand gegen den Aggressor</w:t>
      </w:r>
      <w:r w:rsidR="00E07097" w:rsidRPr="0080160C">
        <w:t>.</w:t>
      </w:r>
      <w:r w:rsidR="00C30FA2" w:rsidRPr="0080160C">
        <w:t xml:space="preserve"> Der politischen Untermauerung di</w:t>
      </w:r>
      <w:r w:rsidR="00C30FA2" w:rsidRPr="0080160C">
        <w:t>e</w:t>
      </w:r>
      <w:r w:rsidR="00C30FA2" w:rsidRPr="0080160C">
        <w:t>se</w:t>
      </w:r>
      <w:r w:rsidRPr="0080160C">
        <w:t>s</w:t>
      </w:r>
      <w:r w:rsidR="00C30FA2" w:rsidRPr="0080160C">
        <w:t xml:space="preserve"> </w:t>
      </w:r>
      <w:r w:rsidRPr="0080160C">
        <w:t>Ziels</w:t>
      </w:r>
      <w:r w:rsidR="00C30FA2" w:rsidRPr="0080160C">
        <w:t xml:space="preserve"> diente das</w:t>
      </w:r>
      <w:r w:rsidRPr="0080160C">
        <w:t xml:space="preserve"> neue Buch</w:t>
      </w:r>
      <w:r w:rsidR="00C30FA2" w:rsidRPr="0080160C">
        <w:t>.</w:t>
      </w:r>
    </w:p>
    <w:p w:rsidR="00681782" w:rsidRPr="0080160C" w:rsidRDefault="00681782" w:rsidP="00D87B79">
      <w:pPr>
        <w:spacing w:after="0"/>
        <w:ind w:firstLine="708"/>
        <w:jc w:val="both"/>
      </w:pPr>
    </w:p>
    <w:p w:rsidR="00BB3460" w:rsidRPr="0080160C" w:rsidRDefault="00681782" w:rsidP="00D87B79">
      <w:pPr>
        <w:spacing w:after="0"/>
        <w:ind w:firstLine="708"/>
        <w:jc w:val="both"/>
      </w:pPr>
      <w:r w:rsidRPr="0080160C">
        <w:t xml:space="preserve">Haffner formuliert den Ausgangspunkt des Duells mit dem Staat so: Der Privatmann, der dieses Duell aufnimmt, </w:t>
      </w:r>
      <w:r w:rsidR="00BB3460" w:rsidRPr="0080160C">
        <w:t>„will nichts weiter, als das bewahren, was er, schlecht und recht, als seine eigene Persönlichkeit, sein eigenes Leben und seine private Ehre betrachtet.“ Dies ist im Dritten Reich jedoch nicht erlaubt: „Unter furchtbaren Drohungen verlangt dieser S</w:t>
      </w:r>
      <w:r w:rsidR="00E07097" w:rsidRPr="0080160C">
        <w:t>t</w:t>
      </w:r>
      <w:r w:rsidR="00BB3460" w:rsidRPr="0080160C">
        <w:t xml:space="preserve">aat von diesem Privatmann, </w:t>
      </w:r>
      <w:proofErr w:type="spellStart"/>
      <w:r w:rsidR="00BB3460" w:rsidRPr="0080160C">
        <w:t>daß</w:t>
      </w:r>
      <w:proofErr w:type="spellEnd"/>
      <w:r w:rsidR="00BB3460" w:rsidRPr="0080160C">
        <w:t xml:space="preserve"> er seine Freunde aufgibt, seine Freundinnen </w:t>
      </w:r>
      <w:proofErr w:type="spellStart"/>
      <w:r w:rsidR="00BB3460" w:rsidRPr="0080160C">
        <w:t>verläßt</w:t>
      </w:r>
      <w:proofErr w:type="spellEnd"/>
      <w:r w:rsidR="00BB3460" w:rsidRPr="0080160C">
        <w:t>, seine G</w:t>
      </w:r>
      <w:r w:rsidR="00BB3460" w:rsidRPr="0080160C">
        <w:t>e</w:t>
      </w:r>
      <w:r w:rsidR="00BB3460" w:rsidRPr="0080160C">
        <w:t xml:space="preserve">sinnungen ablegt, vorgeschriebene Gesinnungen annimmt, anders grüßt als er es gewohnt ist, anders </w:t>
      </w:r>
      <w:proofErr w:type="spellStart"/>
      <w:r w:rsidR="00BB3460" w:rsidRPr="0080160C">
        <w:t>ißt</w:t>
      </w:r>
      <w:proofErr w:type="spellEnd"/>
      <w:r w:rsidR="00BB3460" w:rsidRPr="0080160C">
        <w:t xml:space="preserve"> und trinkt als er es liebt, seine Freizeit für Beschäftigungen verwendet, die er ve</w:t>
      </w:r>
      <w:r w:rsidR="00BB3460" w:rsidRPr="0080160C">
        <w:t>r</w:t>
      </w:r>
      <w:r w:rsidR="00BB3460" w:rsidRPr="0080160C">
        <w:t xml:space="preserve">abscheut, seine Person für Abenteuer zur Verfügung stellt, die er ablehnt, seine Vergangenheit und sein </w:t>
      </w:r>
      <w:r w:rsidR="00E07097" w:rsidRPr="0080160C">
        <w:t>I</w:t>
      </w:r>
      <w:r w:rsidR="00BB3460" w:rsidRPr="0080160C">
        <w:t>ch verleugnet, und vor allem für alles dies ständig äußerste Begeisterung und Dan</w:t>
      </w:r>
      <w:r w:rsidR="00BB3460" w:rsidRPr="0080160C">
        <w:t>k</w:t>
      </w:r>
      <w:r w:rsidR="00BB3460" w:rsidRPr="0080160C">
        <w:t>barkeit an den Tag legt.“</w:t>
      </w:r>
      <w:r w:rsidR="00BB3460" w:rsidRPr="0080160C">
        <w:rPr>
          <w:rStyle w:val="Funotenzeichen"/>
        </w:rPr>
        <w:footnoteReference w:id="2"/>
      </w:r>
      <w:r w:rsidR="00BB3460" w:rsidRPr="0080160C">
        <w:t xml:space="preserve"> – In diesen Passagen wird mit Absicht nicht näher erläutert, wer diese Freunde sind, welche Gesinnungen abgelegt werden sollen</w:t>
      </w:r>
      <w:r w:rsidR="00FC60B0" w:rsidRPr="0080160C">
        <w:t xml:space="preserve"> und wofür der Privatmann „Begeisterung und Dankbarkeit“ an den Tag legen soll. Diese vermeintliche Unbestimmtheit ist Absicht: Haffner rekurriert auf die Uneingeschränktheit des Rechtes, eine bestimmte G</w:t>
      </w:r>
      <w:r w:rsidR="00FC60B0" w:rsidRPr="0080160C">
        <w:t>e</w:t>
      </w:r>
      <w:r w:rsidR="00FC60B0" w:rsidRPr="0080160C">
        <w:t>sinnung zu vertreten und bestimmte Freunde zu haben. Der Staat ist nicht befugt in diesen Bereich einzugreifen.</w:t>
      </w:r>
    </w:p>
    <w:p w:rsidR="001B0667" w:rsidRPr="0080160C" w:rsidRDefault="00FC60B0" w:rsidP="00D87B79">
      <w:pPr>
        <w:spacing w:after="0"/>
        <w:ind w:firstLine="708"/>
        <w:jc w:val="both"/>
      </w:pPr>
      <w:r w:rsidRPr="0080160C">
        <w:t>Tut es der Staat d</w:t>
      </w:r>
      <w:r w:rsidR="00E07097" w:rsidRPr="0080160C">
        <w:t>enn</w:t>
      </w:r>
      <w:r w:rsidRPr="0080160C">
        <w:t>och, dann hat das fatale Folgen, wie es sich an den Auswirkungen zeigt, die die Folge des vom Staat vorgeschriebenen Antisemitismus</w:t>
      </w:r>
      <w:r w:rsidR="00E07097" w:rsidRPr="0080160C">
        <w:t>‘</w:t>
      </w:r>
      <w:r w:rsidRPr="0080160C">
        <w:t xml:space="preserve"> sind: </w:t>
      </w:r>
    </w:p>
    <w:p w:rsidR="007B5EB2" w:rsidRPr="0080160C" w:rsidRDefault="001B0667" w:rsidP="00D87B79">
      <w:pPr>
        <w:spacing w:after="0"/>
        <w:ind w:left="567"/>
        <w:jc w:val="both"/>
      </w:pPr>
      <w:r w:rsidRPr="0080160C">
        <w:t>„Jeder fühlte sich auf einmal bemüßigt und berechtigt, sich eine Meinung üb er die J</w:t>
      </w:r>
      <w:r w:rsidRPr="0080160C">
        <w:t>u</w:t>
      </w:r>
      <w:r w:rsidRPr="0080160C">
        <w:t xml:space="preserve">den zu bilden und sie zum </w:t>
      </w:r>
      <w:proofErr w:type="spellStart"/>
      <w:proofErr w:type="gramStart"/>
      <w:r w:rsidRPr="0080160C">
        <w:t>besten</w:t>
      </w:r>
      <w:proofErr w:type="spellEnd"/>
      <w:proofErr w:type="gramEnd"/>
      <w:r w:rsidRPr="0080160C">
        <w:t xml:space="preserve"> zu geben. Man machte feine Unterscheidungen zw</w:t>
      </w:r>
      <w:r w:rsidRPr="0080160C">
        <w:t>i</w:t>
      </w:r>
      <w:r w:rsidRPr="0080160C">
        <w:t>schen ‚anständigen‘ Juden und anderen; wenn die einen, gleichsam zur Rechtfertigung der Juden – Rechtfertigung wofür? wogegen? – ihre wissenschaftlichen, künstlerischen, medizinischen Leistungen anführten, warfen die anderen ihnen gerade dies vor: Sie hä</w:t>
      </w:r>
      <w:r w:rsidRPr="0080160C">
        <w:t>t</w:t>
      </w:r>
      <w:r w:rsidRPr="0080160C">
        <w:t>ten Wissenschaft, Kunst, Medizin ‚überfremdet‘. Überhaupt wurde es schnell allgemein üblich und populär, die Ausübung anständiger und geistig wertvoller Berufe den Juden als Verbrechen oder zum mindesten als Taktlosigkeit anzurechnen. Man hielt den Ve</w:t>
      </w:r>
      <w:r w:rsidRPr="0080160C">
        <w:t>r</w:t>
      </w:r>
      <w:r w:rsidRPr="0080160C">
        <w:t xml:space="preserve">teidigern der Juden stirnrunzelnd vor, </w:t>
      </w:r>
      <w:proofErr w:type="spellStart"/>
      <w:r w:rsidRPr="0080160C">
        <w:t>daß</w:t>
      </w:r>
      <w:proofErr w:type="spellEnd"/>
      <w:r w:rsidRPr="0080160C">
        <w:t xml:space="preserve"> die Juden aber, höchst </w:t>
      </w:r>
      <w:proofErr w:type="spellStart"/>
      <w:r w:rsidRPr="0080160C">
        <w:t>verwerflicherweise</w:t>
      </w:r>
      <w:proofErr w:type="spellEnd"/>
      <w:r w:rsidRPr="0080160C">
        <w:t>, einen so und so hohen Prozentsalzt der Ärzte, Rechtsanwälte, Presseleute usw. stellten. Man liebte überhaupt, die ‚Judenfrage‘ mit Prozentrechnung zu entscheiden. Man unte</w:t>
      </w:r>
      <w:r w:rsidRPr="0080160C">
        <w:t>r</w:t>
      </w:r>
      <w:r w:rsidRPr="0080160C">
        <w:t>suchte, ob der prozentuale Anteil der Juden an der Mitgliederzahl der Kommunistischen Partei nicht zu hoch, und der an der Gefallenenzahl des Weltkrieges nicht etwas zu niedrig sei.“</w:t>
      </w:r>
      <w:r w:rsidRPr="0080160C">
        <w:rPr>
          <w:rStyle w:val="Funotenzeichen"/>
        </w:rPr>
        <w:footnoteReference w:id="3"/>
      </w:r>
    </w:p>
    <w:p w:rsidR="00C30FA2" w:rsidRPr="0080160C" w:rsidRDefault="001B0667" w:rsidP="00D87B79">
      <w:pPr>
        <w:spacing w:after="0"/>
        <w:jc w:val="both"/>
      </w:pPr>
      <w:r w:rsidRPr="0080160C">
        <w:t xml:space="preserve">Aus </w:t>
      </w:r>
      <w:r w:rsidR="007B5EB2" w:rsidRPr="0080160C">
        <w:t xml:space="preserve">dieser Argumentation </w:t>
      </w:r>
      <w:r w:rsidRPr="0080160C">
        <w:t xml:space="preserve">leitete </w:t>
      </w:r>
      <w:r w:rsidR="007B5EB2" w:rsidRPr="0080160C">
        <w:t>man dann – so die in ihrer Stringenz absolut überzeugende Schlussfolgerung Haffners – „</w:t>
      </w:r>
      <w:r w:rsidRPr="0080160C">
        <w:t>‚eine gewisse Berechtigung‘ des nazistischen Antisemitismus</w:t>
      </w:r>
      <w:r w:rsidR="007B5EB2" w:rsidRPr="0080160C">
        <w:t>“</w:t>
      </w:r>
      <w:r w:rsidRPr="0080160C">
        <w:t xml:space="preserve"> her.</w:t>
      </w:r>
      <w:r w:rsidR="00FC60B0" w:rsidRPr="0080160C">
        <w:t xml:space="preserve"> </w:t>
      </w:r>
      <w:r w:rsidR="007B5EB2" w:rsidRPr="0080160C">
        <w:t>– Sehr prägnant beschreibt Haffner die Folgen dieser Entwicklung:</w:t>
      </w:r>
    </w:p>
    <w:p w:rsidR="007B5EB2" w:rsidRPr="0080160C" w:rsidRDefault="007B5EB2" w:rsidP="00D87B79">
      <w:pPr>
        <w:spacing w:after="0"/>
        <w:ind w:left="567"/>
        <w:jc w:val="both"/>
      </w:pPr>
      <w:r w:rsidRPr="0080160C">
        <w:t xml:space="preserve">„Die Welt, in der ich gelebt hatte, löste sich auf, verschwand, wurde unsichtbar, tätlich und selbstverständlich, in aller Lautlosigkeit. Täglich fast konnte man feststellen, </w:t>
      </w:r>
      <w:proofErr w:type="spellStart"/>
      <w:r w:rsidRPr="0080160C">
        <w:t>daß</w:t>
      </w:r>
      <w:proofErr w:type="spellEnd"/>
      <w:r w:rsidRPr="0080160C">
        <w:t xml:space="preserve"> wieder ein Stück von ihr verschwunden und versunken war: Man sah sich danach um, und es war nicht mehr da. Nie wieder habe ich einen so seltsamen Vorgang erlebt. Es war ähnlich, als ob der Boden, auf dem man steht, ständig und unaufhaltsam unter den </w:t>
      </w:r>
      <w:r w:rsidRPr="0080160C">
        <w:lastRenderedPageBreak/>
        <w:t>Füßen wegrieselt – oder, besser noch: als würde die Atemluft von irgendwoher gleic</w:t>
      </w:r>
      <w:r w:rsidRPr="0080160C">
        <w:t>h</w:t>
      </w:r>
      <w:r w:rsidRPr="0080160C">
        <w:t>mäßig und unaufhörlich weggesaugt.“</w:t>
      </w:r>
      <w:r w:rsidRPr="0080160C">
        <w:rPr>
          <w:rStyle w:val="Funotenzeichen"/>
        </w:rPr>
        <w:footnoteReference w:id="4"/>
      </w:r>
    </w:p>
    <w:p w:rsidR="007B5EB2" w:rsidRPr="0080160C" w:rsidRDefault="007B5EB2" w:rsidP="00D87B79">
      <w:pPr>
        <w:spacing w:after="0"/>
        <w:jc w:val="both"/>
      </w:pPr>
      <w:r w:rsidRPr="0080160C">
        <w:t>Der Vorgang ist irritierend. Die Welt hat sich gleichsam magisch verändert. Dies wird bei einem Blick auf die Zeitungen deutlich:</w:t>
      </w:r>
    </w:p>
    <w:p w:rsidR="007B5EB2" w:rsidRPr="0080160C" w:rsidRDefault="007B5EB2" w:rsidP="00D87B79">
      <w:pPr>
        <w:spacing w:after="0"/>
        <w:ind w:left="567"/>
        <w:jc w:val="both"/>
      </w:pPr>
      <w:r w:rsidRPr="0080160C">
        <w:t>„Viele Zeitungen und Zeitschriften verschwanden von den Kiosken – aber viel unhei</w:t>
      </w:r>
      <w:r w:rsidRPr="0080160C">
        <w:t>m</w:t>
      </w:r>
      <w:r w:rsidRPr="0080160C">
        <w:t>licher war, was mit den übrigbleibenden geschah. Man erkannte sie nicht mehr recht wieder. Man ist gewöhnt, mit einer Zeitung wie mit einem Menschen zu verkehren, nicht wahr, man hat im Gefühl, wie sie auf bestimmte Dinge reagieren, was sie sagen und wie sie es sagen wird. Sagt sie plötzlich das Gegenteil von allem, was sie gestern gesagt hat, verleugnet sie sich völlig und zeigt sie dazu ganz entstellte Züge, so entgeht man nicht einem Gefühl von Irrenhaus. Dies geschah. Altdemokratische Intelligenzblä</w:t>
      </w:r>
      <w:r w:rsidRPr="0080160C">
        <w:t>t</w:t>
      </w:r>
      <w:r w:rsidRPr="0080160C">
        <w:t>ter, wie das ‚Berliner Tageblatt‘ oder die ‚</w:t>
      </w:r>
      <w:proofErr w:type="spellStart"/>
      <w:r w:rsidRPr="0080160C">
        <w:t>Vossische</w:t>
      </w:r>
      <w:proofErr w:type="spellEnd"/>
      <w:r w:rsidRPr="0080160C">
        <w:t xml:space="preserve"> Zeitung‘ waren von heute auf mo</w:t>
      </w:r>
      <w:r w:rsidRPr="0080160C">
        <w:t>r</w:t>
      </w:r>
      <w:r w:rsidRPr="0080160C">
        <w:t>gen in Naziorgane verwandelt; mit ihren alten, besonnenen und gebildeten Stimmen sprachen sie dasselbe aus, was der ‚Angriff‘ oder der ‚Völkische Beobachter‘ herau</w:t>
      </w:r>
      <w:r w:rsidRPr="0080160C">
        <w:t>s</w:t>
      </w:r>
      <w:r w:rsidRPr="0080160C">
        <w:t xml:space="preserve">schrien und –geiferten.“ </w:t>
      </w:r>
      <w:r w:rsidR="00C753D7" w:rsidRPr="0080160C">
        <w:rPr>
          <w:rStyle w:val="Funotenzeichen"/>
        </w:rPr>
        <w:footnoteReference w:id="5"/>
      </w:r>
    </w:p>
    <w:p w:rsidR="007B5EB2" w:rsidRPr="0080160C" w:rsidRDefault="007B5EB2" w:rsidP="00D87B79">
      <w:pPr>
        <w:spacing w:after="0"/>
        <w:ind w:left="567"/>
        <w:jc w:val="both"/>
      </w:pPr>
      <w:r w:rsidRPr="0080160C">
        <w:t xml:space="preserve">„Was stattfand, war vielmehr einfach die </w:t>
      </w:r>
      <w:proofErr w:type="spellStart"/>
      <w:r w:rsidRPr="0080160C">
        <w:t>albtraumhafte</w:t>
      </w:r>
      <w:proofErr w:type="spellEnd"/>
      <w:r w:rsidRPr="0080160C">
        <w:t xml:space="preserve"> Umkehrung der normalen B</w:t>
      </w:r>
      <w:r w:rsidRPr="0080160C">
        <w:t>e</w:t>
      </w:r>
      <w:r w:rsidRPr="0080160C">
        <w:t xml:space="preserve">griffe: Räuber und Mörder als Polizei auftretend, bekleidet mit der vollen Staatsgewalt; ihre Opfer als Verbrecher behandelt, geächtet und </w:t>
      </w:r>
      <w:proofErr w:type="spellStart"/>
      <w:r w:rsidRPr="0080160C">
        <w:t xml:space="preserve">im </w:t>
      </w:r>
      <w:proofErr w:type="gramStart"/>
      <w:r w:rsidRPr="0080160C">
        <w:t>voraus</w:t>
      </w:r>
      <w:proofErr w:type="spellEnd"/>
      <w:proofErr w:type="gramEnd"/>
      <w:r w:rsidRPr="0080160C">
        <w:t xml:space="preserve"> zum Tode verurteilt.“</w:t>
      </w:r>
      <w:r w:rsidR="00C753D7" w:rsidRPr="0080160C">
        <w:rPr>
          <w:rStyle w:val="Funotenzeichen"/>
        </w:rPr>
        <w:footnoteReference w:id="6"/>
      </w:r>
    </w:p>
    <w:p w:rsidR="007B5EB2" w:rsidRPr="0080160C" w:rsidRDefault="00C753D7" w:rsidP="00D87B79">
      <w:pPr>
        <w:spacing w:after="0"/>
        <w:jc w:val="both"/>
      </w:pPr>
      <w:r w:rsidRPr="0080160C">
        <w:t>Was hier in ungemein eindrucksvoller Weise beschrieben wird, sind die Folgen des Unte</w:t>
      </w:r>
      <w:r w:rsidRPr="0080160C">
        <w:t>r</w:t>
      </w:r>
      <w:r w:rsidRPr="0080160C">
        <w:t xml:space="preserve">gangs der zivilisierten Welt. </w:t>
      </w:r>
    </w:p>
    <w:p w:rsidR="00C753D7" w:rsidRPr="0080160C" w:rsidRDefault="00C753D7" w:rsidP="00D87B79">
      <w:pPr>
        <w:spacing w:after="0"/>
        <w:jc w:val="both"/>
      </w:pPr>
      <w:r w:rsidRPr="0080160C">
        <w:tab/>
        <w:t>Der private Einzelmensch ist angesichts dieser Gegebenheiten einer ständigen Gefahr des Ignorierens ausgesetzt. Dies führt jedoch zu Realitätsverlust:</w:t>
      </w:r>
    </w:p>
    <w:p w:rsidR="00C753D7" w:rsidRPr="0080160C" w:rsidRDefault="00C753D7" w:rsidP="00D87B79">
      <w:pPr>
        <w:spacing w:after="0"/>
        <w:ind w:left="567"/>
        <w:jc w:val="both"/>
      </w:pPr>
      <w:r w:rsidRPr="0080160C">
        <w:t xml:space="preserve">„Man will sich nicht durch </w:t>
      </w:r>
      <w:proofErr w:type="spellStart"/>
      <w:r w:rsidRPr="0080160C">
        <w:t>Haß</w:t>
      </w:r>
      <w:proofErr w:type="spellEnd"/>
      <w:r w:rsidRPr="0080160C">
        <w:t xml:space="preserve"> und Leiden seelisch korrumpieren, man will gutartig, friedlich, freundlich ‚nett‘ bleiben. Wie aber </w:t>
      </w:r>
      <w:proofErr w:type="spellStart"/>
      <w:r w:rsidRPr="0080160C">
        <w:t>Haß</w:t>
      </w:r>
      <w:proofErr w:type="spellEnd"/>
      <w:r w:rsidRPr="0080160C">
        <w:t xml:space="preserve"> und Leiden vermeiden, wenn täglich, täglich das auf einen einstürzt, was </w:t>
      </w:r>
      <w:proofErr w:type="spellStart"/>
      <w:r w:rsidRPr="0080160C">
        <w:t>Haß</w:t>
      </w:r>
      <w:proofErr w:type="spellEnd"/>
      <w:r w:rsidRPr="0080160C">
        <w:t xml:space="preserve"> und Leiden verursacht? Es geht nur mit Ignori</w:t>
      </w:r>
      <w:r w:rsidRPr="0080160C">
        <w:t>e</w:t>
      </w:r>
      <w:r w:rsidRPr="0080160C">
        <w:t>ren, Wegsehen, Wachs in die Ohren tun, Sich-Abkapseln. Und es führt zur Verhärtung aus Weichheit und schließlich wieder zu einer Form des Wahnsinns: zum Realitätsve</w:t>
      </w:r>
      <w:r w:rsidRPr="0080160C">
        <w:t>r</w:t>
      </w:r>
      <w:r w:rsidRPr="0080160C">
        <w:t>lust.“</w:t>
      </w:r>
      <w:r w:rsidRPr="0080160C">
        <w:rPr>
          <w:rStyle w:val="Funotenzeichen"/>
        </w:rPr>
        <w:footnoteReference w:id="7"/>
      </w:r>
    </w:p>
    <w:p w:rsidR="00C753D7" w:rsidRPr="0080160C" w:rsidRDefault="00C753D7" w:rsidP="00D87B79">
      <w:pPr>
        <w:spacing w:after="0"/>
        <w:jc w:val="both"/>
      </w:pPr>
      <w:r w:rsidRPr="0080160C">
        <w:t xml:space="preserve">Mit dem Hinweis auf die Gefahr des Realitätsverlustes spricht Haffner ein Phänomen an, das im Zusammenhang der historischen Aufarbeitung der Vertreibung der deutschen Juden und des Holocausts immer wieder thematisiert worden ist: der </w:t>
      </w:r>
      <w:r w:rsidR="0028643C" w:rsidRPr="0080160C">
        <w:t xml:space="preserve">nachträglichen </w:t>
      </w:r>
      <w:r w:rsidRPr="0080160C">
        <w:t>Behauptung</w:t>
      </w:r>
      <w:r w:rsidR="0028643C" w:rsidRPr="0080160C">
        <w:t>en, mit denen die Nachbarn der Verfolgten nach 1945 immer wieder beteuert haben</w:t>
      </w:r>
      <w:r w:rsidRPr="0080160C">
        <w:t xml:space="preserve">, </w:t>
      </w:r>
      <w:r w:rsidR="0028643C" w:rsidRPr="0080160C">
        <w:t>„wir haben nichts gesehen“ und „wir haben nichts gewusst“. Dies waren Auswirkungen der systemat</w:t>
      </w:r>
      <w:r w:rsidR="0028643C" w:rsidRPr="0080160C">
        <w:t>i</w:t>
      </w:r>
      <w:r w:rsidR="0028643C" w:rsidRPr="0080160C">
        <w:t>schen Verdrängung von Realität und damit von Verantwortung.</w:t>
      </w:r>
    </w:p>
    <w:p w:rsidR="0028643C" w:rsidRPr="0080160C" w:rsidRDefault="0028643C" w:rsidP="00D87B79">
      <w:pPr>
        <w:spacing w:after="0"/>
        <w:jc w:val="both"/>
      </w:pPr>
      <w:r w:rsidRPr="0080160C">
        <w:tab/>
        <w:t>Zu den eindrucksvollsten Passagen in Haffne</w:t>
      </w:r>
      <w:r w:rsidR="00E07097" w:rsidRPr="0080160C">
        <w:t>r</w:t>
      </w:r>
      <w:r w:rsidRPr="0080160C">
        <w:t xml:space="preserve">s </w:t>
      </w:r>
      <w:r w:rsidRPr="0080160C">
        <w:rPr>
          <w:i/>
        </w:rPr>
        <w:t>Geschichte eines Deutschen</w:t>
      </w:r>
      <w:r w:rsidRPr="0080160C">
        <w:t xml:space="preserve"> gehört die Beschreibung, wie die jüdischen Richter aus dem Preußischen Kammergericht entfernt wu</w:t>
      </w:r>
      <w:r w:rsidRPr="0080160C">
        <w:t>r</w:t>
      </w:r>
      <w:r w:rsidRPr="0080160C">
        <w:t>den. Haffner schildert den Vorgang als ein Anwesender abseits des Geschehens, aus der Pe</w:t>
      </w:r>
      <w:r w:rsidRPr="0080160C">
        <w:t>r</w:t>
      </w:r>
      <w:r w:rsidRPr="0080160C">
        <w:t>spektive eines Referendars, der sich in der Bibliothek des Kammergerichts befindet und dort arbeitet:</w:t>
      </w:r>
    </w:p>
    <w:p w:rsidR="00D2498A" w:rsidRPr="0080160C" w:rsidRDefault="00D2498A" w:rsidP="00D87B79">
      <w:pPr>
        <w:spacing w:after="0"/>
        <w:ind w:left="567"/>
        <w:jc w:val="both"/>
      </w:pPr>
      <w:r w:rsidRPr="0080160C">
        <w:t>„Was war das erste auffällige Geräusch? Ein Türenschlagen? […] Draußen in den Gä</w:t>
      </w:r>
      <w:r w:rsidRPr="0080160C">
        <w:t>n</w:t>
      </w:r>
      <w:r w:rsidRPr="0080160C">
        <w:t xml:space="preserve">gen hörte man Getrappel, </w:t>
      </w:r>
      <w:proofErr w:type="spellStart"/>
      <w:r w:rsidRPr="0080160C">
        <w:t>vielschrittiges</w:t>
      </w:r>
      <w:proofErr w:type="spellEnd"/>
      <w:r w:rsidRPr="0080160C">
        <w:t xml:space="preserve"> grobes Laufen die Treppen herauf, dann fernes </w:t>
      </w:r>
      <w:r w:rsidRPr="0080160C">
        <w:lastRenderedPageBreak/>
        <w:t xml:space="preserve">unentwirrbares Getöse, Rufen, Türenschlagen. […] Einer sagte in die vorhaltende Stille hinein: ‚SA‘. Darauf sagte ein anderer, mit nicht besonders erhobener Stimme: ‚Die Schmeißen die Juden raus‘, und zwei oder drei Leute lachten dazu. Dieses Lachen war im Augenblick erschreckender als der Vorgang selbst: Es ließ blitzhaft daran denken, </w:t>
      </w:r>
      <w:proofErr w:type="spellStart"/>
      <w:r w:rsidRPr="0080160C">
        <w:t>daß</w:t>
      </w:r>
      <w:proofErr w:type="spellEnd"/>
      <w:r w:rsidRPr="0080160C">
        <w:t xml:space="preserve"> ja auch in diesem Raum, wie sonderbar, Nazis saßen.</w:t>
      </w:r>
    </w:p>
    <w:p w:rsidR="00D2498A" w:rsidRPr="0080160C" w:rsidRDefault="00D2498A" w:rsidP="00D87B79">
      <w:pPr>
        <w:spacing w:after="0"/>
        <w:ind w:left="567"/>
        <w:jc w:val="both"/>
      </w:pPr>
      <w:r w:rsidRPr="0080160C">
        <w:t>Allmählich wurde die Unruhe sichtbar – zuerst war sie nur fühlbar gewesen. […] Ein offenbar jüdischer Herr schlug schweigend seine Bücher zu, stellte sie sorgfältig in die Regale zurück, verstaute seine Akten und ging hinaus. Kurz darauf erschien jemand am Eingang, vielleicht eine Art Oberwachtmeister, und rief laut, aber mit besonnener Stimme, in den Raum: ‚Die SA ist im Haus. Die jüdischen Herren tun besser, für heute das Haus zu verlassen</w:t>
      </w:r>
      <w:proofErr w:type="gramStart"/>
      <w:r w:rsidRPr="0080160C">
        <w:t>.‘</w:t>
      </w:r>
      <w:proofErr w:type="gramEnd"/>
      <w:r w:rsidRPr="0080160C">
        <w:t xml:space="preserve"> Zugleich hörte man von draußen, wie zur Illustration, rufen: ‚Juden raus</w:t>
      </w:r>
      <w:proofErr w:type="gramStart"/>
      <w:r w:rsidRPr="0080160C">
        <w:t>!‘</w:t>
      </w:r>
      <w:proofErr w:type="gramEnd"/>
      <w:r w:rsidRPr="0080160C">
        <w:t xml:space="preserve"> Eine Stimme antwortete: ‚Sind schon raus‘, und wieder hörte ich die zwei oder drei Lacher von vorhin kurz und fröhlich </w:t>
      </w:r>
      <w:proofErr w:type="spellStart"/>
      <w:r w:rsidRPr="0080160C">
        <w:t>aufglucksen</w:t>
      </w:r>
      <w:proofErr w:type="spellEnd"/>
      <w:r w:rsidRPr="0080160C">
        <w:t xml:space="preserve">. Ich sah sie jetzt. Es waren Referendare wie ich.“ </w:t>
      </w:r>
      <w:r w:rsidRPr="0080160C">
        <w:rPr>
          <w:rStyle w:val="Funotenzeichen"/>
        </w:rPr>
        <w:footnoteReference w:id="8"/>
      </w:r>
    </w:p>
    <w:p w:rsidR="00D2498A" w:rsidRPr="0080160C" w:rsidRDefault="00D2498A" w:rsidP="00D87B79">
      <w:pPr>
        <w:spacing w:after="0"/>
        <w:ind w:left="567"/>
        <w:jc w:val="both"/>
      </w:pPr>
      <w:r w:rsidRPr="0080160C">
        <w:t xml:space="preserve">„Die </w:t>
      </w:r>
      <w:proofErr w:type="spellStart"/>
      <w:r w:rsidRPr="0080160C">
        <w:t>Sightseer</w:t>
      </w:r>
      <w:proofErr w:type="spellEnd"/>
      <w:r w:rsidRPr="0080160C">
        <w:t xml:space="preserve"> erzählten später, was sich im Gebäude abgespielt hatte. Keine </w:t>
      </w:r>
      <w:proofErr w:type="spellStart"/>
      <w:r w:rsidRPr="0080160C">
        <w:t>Greuelb</w:t>
      </w:r>
      <w:r w:rsidRPr="0080160C">
        <w:t>e</w:t>
      </w:r>
      <w:r w:rsidRPr="0080160C">
        <w:t>richte</w:t>
      </w:r>
      <w:proofErr w:type="spellEnd"/>
      <w:r w:rsidRPr="0080160C">
        <w:t>, o durchaus nicht. Es war alles überaus glatt gegangen. Die Sitzungen waren o</w:t>
      </w:r>
      <w:r w:rsidRPr="0080160C">
        <w:t>f</w:t>
      </w:r>
      <w:r w:rsidRPr="0080160C">
        <w:t>fenbar größtenteils aufgehoben worden. Die Richter hatten ihre Togen ausgezogen und waren bescheiden und zivil aus dem Hause gegangen, die Treppe hinunter flankiert von aufgestellten SA-Leuten. Nur im Anwaltszimmer war es etwas wild zugegangen. Ein jüdischer Anwalt hatte ‚</w:t>
      </w:r>
      <w:proofErr w:type="spellStart"/>
      <w:r w:rsidRPr="0080160C">
        <w:t>Menkenke</w:t>
      </w:r>
      <w:proofErr w:type="spellEnd"/>
      <w:r w:rsidRPr="0080160C">
        <w:t xml:space="preserve"> gemacht‘ und war verprügelt worden.“</w:t>
      </w:r>
      <w:r w:rsidRPr="0080160C">
        <w:rPr>
          <w:rStyle w:val="Funotenzeichen"/>
        </w:rPr>
        <w:footnoteReference w:id="9"/>
      </w:r>
    </w:p>
    <w:p w:rsidR="00D2498A" w:rsidRPr="0080160C" w:rsidRDefault="004B19C7" w:rsidP="00D87B79">
      <w:pPr>
        <w:spacing w:after="0"/>
        <w:jc w:val="both"/>
      </w:pPr>
      <w:r w:rsidRPr="0080160C">
        <w:t xml:space="preserve">Dass Haffner hier auf den volkstümlichen </w:t>
      </w:r>
      <w:proofErr w:type="spellStart"/>
      <w:r w:rsidRPr="0080160C">
        <w:t>Berolinismus</w:t>
      </w:r>
      <w:proofErr w:type="spellEnd"/>
      <w:r w:rsidRPr="0080160C">
        <w:t xml:space="preserve"> „</w:t>
      </w:r>
      <w:proofErr w:type="spellStart"/>
      <w:r w:rsidRPr="0080160C">
        <w:t>Menkenke</w:t>
      </w:r>
      <w:proofErr w:type="spellEnd"/>
      <w:r w:rsidRPr="0080160C">
        <w:t xml:space="preserve"> machen“ zurückgreift, erschreckt besonders, denn der Begriff unterstreicht die vermeintliche Alltäglichkeit des Vo</w:t>
      </w:r>
      <w:r w:rsidRPr="0080160C">
        <w:t>r</w:t>
      </w:r>
      <w:r w:rsidRPr="0080160C">
        <w:t>gangs. – Haffner selber wird von einem „Mann Uniform“ gefragt, ob er „arisch“ sei und an</w:t>
      </w:r>
      <w:r w:rsidRPr="0080160C">
        <w:t>t</w:t>
      </w:r>
      <w:r w:rsidRPr="0080160C">
        <w:t>wortet</w:t>
      </w:r>
      <w:r w:rsidR="00D2498A" w:rsidRPr="0080160C">
        <w:t xml:space="preserve"> </w:t>
      </w:r>
      <w:r w:rsidRPr="0080160C">
        <w:t>intuitiv mit „ja“. Er empfindet dieses Fehlverhalten, das Resultat ebenfalls intuitiver Furcht vor der Gewalt, als eine ihn zutiefst demütigende</w:t>
      </w:r>
      <w:r w:rsidR="00D2498A" w:rsidRPr="0080160C">
        <w:t xml:space="preserve"> Peinlichkeit</w:t>
      </w:r>
      <w:r w:rsidRPr="0080160C">
        <w:t xml:space="preserve">: </w:t>
      </w:r>
      <w:r w:rsidR="00D2498A" w:rsidRPr="0080160C">
        <w:t>„Welche Demütigung, Unbefugten auf Befragen pünktlich zu erklären, ich sei arisch – worauf ich übrigens keinen Wert legte.“</w:t>
      </w:r>
      <w:r w:rsidRPr="0080160C">
        <w:rPr>
          <w:rStyle w:val="Funotenzeichen"/>
        </w:rPr>
        <w:footnoteReference w:id="10"/>
      </w:r>
      <w:r w:rsidR="00D2498A" w:rsidRPr="0080160C">
        <w:t xml:space="preserve"> </w:t>
      </w:r>
    </w:p>
    <w:p w:rsidR="004B19C7" w:rsidRPr="0080160C" w:rsidRDefault="004B19C7" w:rsidP="00D87B79">
      <w:pPr>
        <w:spacing w:after="0"/>
        <w:jc w:val="both"/>
      </w:pPr>
      <w:r w:rsidRPr="0080160C">
        <w:tab/>
        <w:t>Den Abschluss dieser Szene bildet ein Kommentar, als Haffner das Kammergericht, immerhin das höchste preußische Gericht, verlässt:</w:t>
      </w:r>
    </w:p>
    <w:p w:rsidR="00D2498A" w:rsidRPr="0080160C" w:rsidRDefault="00D2498A" w:rsidP="00D87B79">
      <w:pPr>
        <w:spacing w:after="0"/>
        <w:ind w:left="567"/>
        <w:jc w:val="both"/>
      </w:pPr>
      <w:r w:rsidRPr="0080160C">
        <w:t xml:space="preserve">„Als ich das Kammergericht verließ, stand es grau, kühl und gelassen da wie immer, vornehm abgerückt von der Straße hinter seinen Parkbäumen. Man sah ihm keineswegs an, </w:t>
      </w:r>
      <w:proofErr w:type="spellStart"/>
      <w:r w:rsidRPr="0080160C">
        <w:t>daß</w:t>
      </w:r>
      <w:proofErr w:type="spellEnd"/>
      <w:r w:rsidRPr="0080160C">
        <w:t xml:space="preserve"> es soeben als Institution zusammengebrochen war. Man sah wahrscheinlich auch mir nicht an, </w:t>
      </w:r>
      <w:proofErr w:type="spellStart"/>
      <w:r w:rsidRPr="0080160C">
        <w:t>daß</w:t>
      </w:r>
      <w:proofErr w:type="spellEnd"/>
      <w:r w:rsidRPr="0080160C">
        <w:t xml:space="preserve"> ich soeben eine fruchtbare Schlappe erlitten hatte, eine kaum zu reparierende Demütigung.“ </w:t>
      </w:r>
      <w:r w:rsidR="004B19C7" w:rsidRPr="0080160C">
        <w:rPr>
          <w:rStyle w:val="Funotenzeichen"/>
        </w:rPr>
        <w:footnoteReference w:id="11"/>
      </w:r>
    </w:p>
    <w:p w:rsidR="00D2498A" w:rsidRDefault="004B19C7" w:rsidP="00D87B79">
      <w:pPr>
        <w:spacing w:after="0"/>
        <w:jc w:val="both"/>
      </w:pPr>
      <w:r w:rsidRPr="0080160C">
        <w:t xml:space="preserve">Die Demütigung </w:t>
      </w:r>
      <w:r w:rsidR="00B7408A" w:rsidRPr="0080160C">
        <w:t>besteht nicht so sehr in dem Fehlverhalten, für das es Gründe gibt, die Haf</w:t>
      </w:r>
      <w:r w:rsidR="00B7408A" w:rsidRPr="0080160C">
        <w:t>f</w:t>
      </w:r>
      <w:r w:rsidR="00B7408A" w:rsidRPr="0080160C">
        <w:t xml:space="preserve">ner sicherlich bewusst sind, sondern in dem klaren Wissen, dass das Individuum in seinem Verhalten durch die Umgebung manipuliert worden ist. Es hat ein Eingriff in den privatesten Bereich des Individuums: den Bereich der Entscheidung, mutig oder nicht mutig zu handeln, stattgefunden. Das </w:t>
      </w:r>
      <w:r w:rsidR="000C4DA3">
        <w:t>is</w:t>
      </w:r>
      <w:r w:rsidR="00B7408A" w:rsidRPr="0080160C">
        <w:t>t die Demütigung.</w:t>
      </w:r>
    </w:p>
    <w:p w:rsidR="00D87B79" w:rsidRPr="0080160C" w:rsidRDefault="00D87B79" w:rsidP="00D87B79">
      <w:pPr>
        <w:spacing w:after="0"/>
        <w:jc w:val="both"/>
      </w:pPr>
    </w:p>
    <w:p w:rsidR="00B7408A" w:rsidRPr="0080160C" w:rsidRDefault="00B7408A" w:rsidP="00D87B79">
      <w:pPr>
        <w:spacing w:after="0"/>
        <w:jc w:val="both"/>
      </w:pPr>
    </w:p>
    <w:p w:rsidR="000C4DA3" w:rsidRPr="000C4DA3" w:rsidRDefault="000C4DA3" w:rsidP="00D87B79">
      <w:pPr>
        <w:spacing w:after="0"/>
        <w:jc w:val="both"/>
        <w:rPr>
          <w:b/>
          <w:i/>
        </w:rPr>
      </w:pPr>
      <w:r w:rsidRPr="000C4DA3">
        <w:rPr>
          <w:b/>
          <w:i/>
        </w:rPr>
        <w:lastRenderedPageBreak/>
        <w:t xml:space="preserve">Das Tagebuch der Hertha </w:t>
      </w:r>
      <w:proofErr w:type="spellStart"/>
      <w:r w:rsidRPr="000C4DA3">
        <w:rPr>
          <w:b/>
          <w:i/>
        </w:rPr>
        <w:t>Nathorff</w:t>
      </w:r>
      <w:proofErr w:type="spellEnd"/>
    </w:p>
    <w:p w:rsidR="0028643C" w:rsidRPr="0080160C" w:rsidRDefault="00B7408A" w:rsidP="00D87B79">
      <w:pPr>
        <w:spacing w:after="0"/>
        <w:jc w:val="both"/>
      </w:pPr>
      <w:r w:rsidRPr="0080160C">
        <w:t>Haffner war nach Herkunft und politischer Haltung jemand, der von den Gleichschaltung</w:t>
      </w:r>
      <w:r w:rsidRPr="0080160C">
        <w:t>s</w:t>
      </w:r>
      <w:r w:rsidRPr="0080160C">
        <w:t xml:space="preserve">maßnahmen des Dritten Reiches zunächst einmal nicht betroffen war. Wie sah die </w:t>
      </w:r>
      <w:r w:rsidR="00714AF9" w:rsidRPr="0080160C">
        <w:t>Situation</w:t>
      </w:r>
      <w:r w:rsidRPr="0080160C">
        <w:t xml:space="preserve"> </w:t>
      </w:r>
      <w:r w:rsidR="0086169E" w:rsidRPr="0080160C">
        <w:t xml:space="preserve">jedoch </w:t>
      </w:r>
      <w:r w:rsidRPr="0080160C">
        <w:t>für diejenigen aus,</w:t>
      </w:r>
      <w:r w:rsidR="00714AF9" w:rsidRPr="0080160C">
        <w:t xml:space="preserve"> auf </w:t>
      </w:r>
      <w:r w:rsidRPr="0080160C">
        <w:t xml:space="preserve">die </w:t>
      </w:r>
      <w:r w:rsidR="00714AF9" w:rsidRPr="0080160C">
        <w:t>die Maßnahmen</w:t>
      </w:r>
      <w:r w:rsidRPr="0080160C">
        <w:t xml:space="preserve"> direkt </w:t>
      </w:r>
      <w:r w:rsidR="00714AF9" w:rsidRPr="0080160C">
        <w:t>zielt</w:t>
      </w:r>
      <w:r w:rsidRPr="0080160C">
        <w:t>en?</w:t>
      </w:r>
    </w:p>
    <w:p w:rsidR="009C7069" w:rsidRPr="0080160C" w:rsidRDefault="007A6038" w:rsidP="00D87B79">
      <w:pPr>
        <w:spacing w:after="0"/>
        <w:jc w:val="both"/>
      </w:pPr>
      <w:r w:rsidRPr="0080160C">
        <w:tab/>
        <w:t>Auskunft darüber geben die Eingänge auf ein Preisausschreiben, das 193</w:t>
      </w:r>
      <w:r w:rsidR="00B22F27" w:rsidRPr="0080160C">
        <w:t>9</w:t>
      </w:r>
      <w:r w:rsidRPr="0080160C">
        <w:t xml:space="preserve"> von drei Professoren der Harvard-Universität: </w:t>
      </w:r>
      <w:proofErr w:type="spellStart"/>
      <w:r w:rsidRPr="0080160C">
        <w:t>Allport</w:t>
      </w:r>
      <w:proofErr w:type="spellEnd"/>
      <w:r w:rsidRPr="0080160C">
        <w:t xml:space="preserve">, Fay und </w:t>
      </w:r>
      <w:proofErr w:type="spellStart"/>
      <w:r w:rsidRPr="0080160C">
        <w:t>Hartshorne</w:t>
      </w:r>
      <w:proofErr w:type="spellEnd"/>
      <w:r w:rsidRPr="0080160C">
        <w:t xml:space="preserve">, ausgelobt </w:t>
      </w:r>
      <w:r w:rsidR="009C7069" w:rsidRPr="0080160C">
        <w:t xml:space="preserve">worden war. </w:t>
      </w:r>
      <w:r w:rsidR="0086169E" w:rsidRPr="0080160C">
        <w:t>Das Ziel des Preisausschreibens</w:t>
      </w:r>
      <w:r w:rsidRPr="0080160C">
        <w:t xml:space="preserve"> war die Sammlung autobiografischer Niederschriften zum Thema „Mein Leben in Deutschland vor und nach dem 30. Januar 1933“. </w:t>
      </w:r>
      <w:r w:rsidR="009C7069" w:rsidRPr="0080160C">
        <w:t xml:space="preserve">Das Abgabedatum war auf den 1. April 1940 terminiert. </w:t>
      </w:r>
      <w:r w:rsidRPr="0080160C">
        <w:t>Ausdrücklich wurde in dem Ankündigungstext darauf hingewi</w:t>
      </w:r>
      <w:r w:rsidRPr="0080160C">
        <w:t>e</w:t>
      </w:r>
      <w:r w:rsidRPr="0080160C">
        <w:t>sen, dass es sich nicht um ein „literarisches</w:t>
      </w:r>
      <w:r w:rsidR="009C7069" w:rsidRPr="0080160C">
        <w:t>“</w:t>
      </w:r>
      <w:r w:rsidRPr="0080160C">
        <w:t xml:space="preserve"> Preisausschreiben handele, sondern </w:t>
      </w:r>
      <w:r w:rsidR="00A73369" w:rsidRPr="0080160C">
        <w:t>das</w:t>
      </w:r>
      <w:r w:rsidR="0086169E" w:rsidRPr="0080160C">
        <w:t>s</w:t>
      </w:r>
      <w:r w:rsidR="00A73369" w:rsidRPr="0080160C">
        <w:t xml:space="preserve"> es e</w:t>
      </w:r>
      <w:r w:rsidRPr="0080160C">
        <w:t>ine</w:t>
      </w:r>
      <w:r w:rsidR="00A73369" w:rsidRPr="0080160C">
        <w:t>r</w:t>
      </w:r>
      <w:r w:rsidRPr="0080160C">
        <w:t xml:space="preserve"> wissenschaftliche</w:t>
      </w:r>
      <w:r w:rsidR="00A73369" w:rsidRPr="0080160C">
        <w:t>n</w:t>
      </w:r>
      <w:r w:rsidRPr="0080160C">
        <w:t xml:space="preserve"> Zielsetzung</w:t>
      </w:r>
      <w:r w:rsidR="00A73369" w:rsidRPr="0080160C">
        <w:t xml:space="preserve"> diene: </w:t>
      </w:r>
      <w:r w:rsidR="008E3DA5" w:rsidRPr="0080160C">
        <w:t>d</w:t>
      </w:r>
      <w:r w:rsidR="00B22F27" w:rsidRPr="0080160C">
        <w:t xml:space="preserve">er „Untersuchung der </w:t>
      </w:r>
      <w:r w:rsidR="00B22F27" w:rsidRPr="0080160C">
        <w:rPr>
          <w:i/>
        </w:rPr>
        <w:t>gesellschaftlichen und seel</w:t>
      </w:r>
      <w:r w:rsidR="00B22F27" w:rsidRPr="0080160C">
        <w:rPr>
          <w:i/>
        </w:rPr>
        <w:t>i</w:t>
      </w:r>
      <w:r w:rsidR="00B22F27" w:rsidRPr="0080160C">
        <w:rPr>
          <w:i/>
        </w:rPr>
        <w:t>schen Wirkungen des Nationalsozialismus auf die deutsche Gesellschaft und das deutsche Volk“</w:t>
      </w:r>
      <w:r w:rsidRPr="0080160C">
        <w:t xml:space="preserve">. </w:t>
      </w:r>
      <w:r w:rsidR="0086169E" w:rsidRPr="0080160C">
        <w:t xml:space="preserve">Fakten und dokumentarische Treue standen im Zentrum. </w:t>
      </w:r>
      <w:r w:rsidRPr="0080160C">
        <w:t>Es sollten</w:t>
      </w:r>
      <w:r w:rsidR="009C7069" w:rsidRPr="0080160C">
        <w:t>, „soweit erinne</w:t>
      </w:r>
      <w:r w:rsidR="009C7069" w:rsidRPr="0080160C">
        <w:t>r</w:t>
      </w:r>
      <w:r w:rsidR="009C7069" w:rsidRPr="0080160C">
        <w:t>lich“,</w:t>
      </w:r>
      <w:r w:rsidRPr="0080160C">
        <w:t xml:space="preserve"> „wirkliche Vorkommnisse“ und „die </w:t>
      </w:r>
      <w:r w:rsidR="00A73369" w:rsidRPr="0080160C">
        <w:t>Worte und Taten der Menschen“ beschrieben we</w:t>
      </w:r>
      <w:r w:rsidR="00A73369" w:rsidRPr="0080160C">
        <w:t>r</w:t>
      </w:r>
      <w:r w:rsidR="00A73369" w:rsidRPr="0080160C">
        <w:t xml:space="preserve">den. </w:t>
      </w:r>
      <w:r w:rsidR="0086169E" w:rsidRPr="0080160C">
        <w:t>Jeder war aufgef</w:t>
      </w:r>
      <w:r w:rsidR="00A73369" w:rsidRPr="0080160C">
        <w:t>ordert, sich zu beteiligen</w:t>
      </w:r>
      <w:r w:rsidR="0086169E" w:rsidRPr="0080160C">
        <w:t>, sofern er etwas zu berichten habe</w:t>
      </w:r>
      <w:r w:rsidR="00A73369" w:rsidRPr="0080160C">
        <w:t>: „Sie sollten sich daran wagen, selbst wenn Sie nie vorher geschrieben haben, wenn Sie nur ein gutes G</w:t>
      </w:r>
      <w:r w:rsidR="00A73369" w:rsidRPr="0080160C">
        <w:t>e</w:t>
      </w:r>
      <w:r w:rsidR="00A73369" w:rsidRPr="0080160C">
        <w:t>dächtnis, scharfe Beobachtungsgabe und Menschenkenntnis besitzen.“</w:t>
      </w:r>
      <w:r w:rsidR="00A73369" w:rsidRPr="0080160C">
        <w:rPr>
          <w:rStyle w:val="Funotenzeichen"/>
        </w:rPr>
        <w:footnoteReference w:id="12"/>
      </w:r>
      <w:r w:rsidR="00B22F27" w:rsidRPr="0080160C">
        <w:t xml:space="preserve"> Der Mindestumfang der Beiträge </w:t>
      </w:r>
      <w:r w:rsidR="0086169E" w:rsidRPr="0080160C">
        <w:t>war auf</w:t>
      </w:r>
      <w:r w:rsidR="00B22F27" w:rsidRPr="0080160C">
        <w:t xml:space="preserve"> 20.000 Worte, </w:t>
      </w:r>
      <w:r w:rsidR="0086169E" w:rsidRPr="0080160C">
        <w:t xml:space="preserve">also </w:t>
      </w:r>
      <w:r w:rsidR="00B22F27" w:rsidRPr="0080160C">
        <w:t xml:space="preserve">rd. 80 Manuskriptseiten, </w:t>
      </w:r>
      <w:r w:rsidR="0086169E" w:rsidRPr="0080160C">
        <w:t>bemesse</w:t>
      </w:r>
      <w:r w:rsidR="00B22F27" w:rsidRPr="0080160C">
        <w:t>n.</w:t>
      </w:r>
    </w:p>
    <w:p w:rsidR="00714AF9" w:rsidRPr="0080160C" w:rsidRDefault="00B22F27" w:rsidP="00D87B79">
      <w:pPr>
        <w:spacing w:after="0"/>
        <w:ind w:firstLine="708"/>
        <w:jc w:val="both"/>
      </w:pPr>
      <w:r w:rsidRPr="0080160C">
        <w:t xml:space="preserve">Auf die Ausschreibung </w:t>
      </w:r>
      <w:r w:rsidR="00903AD2" w:rsidRPr="0080160C">
        <w:t xml:space="preserve">gingen </w:t>
      </w:r>
      <w:r w:rsidRPr="0080160C">
        <w:t xml:space="preserve">254 Beiträge ein. </w:t>
      </w:r>
      <w:r w:rsidR="004400EA" w:rsidRPr="0080160C">
        <w:rPr>
          <w:rStyle w:val="Funotenzeichen"/>
        </w:rPr>
        <w:footnoteReference w:id="13"/>
      </w:r>
      <w:r w:rsidR="004400EA" w:rsidRPr="0080160C">
        <w:t xml:space="preserve"> </w:t>
      </w:r>
      <w:r w:rsidR="00465B20" w:rsidRPr="0080160C">
        <w:t xml:space="preserve">Eine Reihe </w:t>
      </w:r>
      <w:r w:rsidR="004400EA" w:rsidRPr="0080160C">
        <w:t xml:space="preserve">dieser </w:t>
      </w:r>
      <w:r w:rsidR="00B42852" w:rsidRPr="0080160C">
        <w:t>Aufzeichnungen</w:t>
      </w:r>
      <w:r w:rsidR="004400EA" w:rsidRPr="0080160C">
        <w:t xml:space="preserve"> wurde </w:t>
      </w:r>
      <w:r w:rsidR="00903AD2" w:rsidRPr="0080160C">
        <w:t xml:space="preserve">auszugsweise </w:t>
      </w:r>
      <w:r w:rsidR="00B42852" w:rsidRPr="0080160C">
        <w:t xml:space="preserve">in den vergangenen Jahrzehnten </w:t>
      </w:r>
      <w:r w:rsidR="004400EA" w:rsidRPr="0080160C">
        <w:t>in Sammelbänden publiziert</w:t>
      </w:r>
      <w:r w:rsidR="00465B20" w:rsidRPr="0080160C">
        <w:t>, eine kleine Anzahl liegt inzwischen auch in vollständiger und kommentierter Edition vor.</w:t>
      </w:r>
      <w:r w:rsidR="004400EA" w:rsidRPr="0080160C">
        <w:rPr>
          <w:rStyle w:val="Funotenzeichen"/>
        </w:rPr>
        <w:footnoteReference w:id="14"/>
      </w:r>
      <w:r w:rsidR="00714AF9" w:rsidRPr="0080160C">
        <w:t xml:space="preserve"> </w:t>
      </w:r>
      <w:r w:rsidR="00063CB4" w:rsidRPr="0080160C">
        <w:t xml:space="preserve">Einer der eindrucksvollsten Texte ist </w:t>
      </w:r>
      <w:r w:rsidR="00063CB4" w:rsidRPr="0080160C">
        <w:rPr>
          <w:i/>
        </w:rPr>
        <w:t xml:space="preserve">Das Tagebuch der Hertha </w:t>
      </w:r>
      <w:proofErr w:type="spellStart"/>
      <w:r w:rsidR="00063CB4" w:rsidRPr="0080160C">
        <w:rPr>
          <w:i/>
        </w:rPr>
        <w:t>Nathorff</w:t>
      </w:r>
      <w:proofErr w:type="spellEnd"/>
      <w:r w:rsidR="00063CB4" w:rsidRPr="0080160C">
        <w:rPr>
          <w:i/>
        </w:rPr>
        <w:t>.</w:t>
      </w:r>
      <w:r w:rsidR="00063CB4" w:rsidRPr="0080160C">
        <w:rPr>
          <w:rStyle w:val="Funotenzeichen"/>
          <w:i/>
        </w:rPr>
        <w:footnoteReference w:id="15"/>
      </w:r>
      <w:r w:rsidR="002C61E3" w:rsidRPr="0080160C">
        <w:t xml:space="preserve"> </w:t>
      </w:r>
    </w:p>
    <w:p w:rsidR="009C7069" w:rsidRPr="0080160C" w:rsidRDefault="009C7069" w:rsidP="00D87B79">
      <w:pPr>
        <w:spacing w:after="0"/>
        <w:ind w:firstLine="708"/>
        <w:jc w:val="both"/>
      </w:pPr>
    </w:p>
    <w:p w:rsidR="00351067" w:rsidRPr="0080160C" w:rsidRDefault="009C7069" w:rsidP="00D87B79">
      <w:pPr>
        <w:spacing w:after="0"/>
        <w:ind w:firstLine="708"/>
        <w:jc w:val="both"/>
      </w:pPr>
      <w:r w:rsidRPr="0080160C">
        <w:t xml:space="preserve">Zunächst einige Worte zur Verfasserin. </w:t>
      </w:r>
      <w:r w:rsidR="002C61E3" w:rsidRPr="0080160C">
        <w:t>Hertha Einstein</w:t>
      </w:r>
      <w:r w:rsidR="004E04D7" w:rsidRPr="0080160C">
        <w:t xml:space="preserve"> verh. </w:t>
      </w:r>
      <w:proofErr w:type="spellStart"/>
      <w:r w:rsidR="004E04D7" w:rsidRPr="0080160C">
        <w:t>Nathorff</w:t>
      </w:r>
      <w:proofErr w:type="spellEnd"/>
      <w:r w:rsidR="00714AF9" w:rsidRPr="0080160C">
        <w:t xml:space="preserve">, geb. am </w:t>
      </w:r>
      <w:r w:rsidR="00727DA6" w:rsidRPr="0080160C">
        <w:t>5. Juni 1895</w:t>
      </w:r>
      <w:r w:rsidR="00714AF9" w:rsidRPr="0080160C">
        <w:t>,</w:t>
      </w:r>
      <w:r w:rsidR="00727DA6" w:rsidRPr="0080160C">
        <w:t xml:space="preserve"> </w:t>
      </w:r>
      <w:r w:rsidR="002C61E3" w:rsidRPr="0080160C">
        <w:t xml:space="preserve">stammt aus </w:t>
      </w:r>
      <w:r w:rsidR="00727DA6" w:rsidRPr="0080160C">
        <w:t xml:space="preserve">einer </w:t>
      </w:r>
      <w:r w:rsidR="00106C91" w:rsidRPr="0080160C">
        <w:t xml:space="preserve">begüterten </w:t>
      </w:r>
      <w:r w:rsidR="00727DA6" w:rsidRPr="0080160C">
        <w:t xml:space="preserve">jüdischen Familie in </w:t>
      </w:r>
      <w:r w:rsidR="002C61E3" w:rsidRPr="0080160C">
        <w:t>Laupheim</w:t>
      </w:r>
      <w:r w:rsidR="00714AF9" w:rsidRPr="0080160C">
        <w:t>/</w:t>
      </w:r>
      <w:r w:rsidR="002C61E3" w:rsidRPr="0080160C">
        <w:t>Baden-Württemberg</w:t>
      </w:r>
      <w:r w:rsidR="00B42852" w:rsidRPr="0080160C">
        <w:t>, die</w:t>
      </w:r>
      <w:r w:rsidR="004E04D7" w:rsidRPr="0080160C">
        <w:t xml:space="preserve"> mit </w:t>
      </w:r>
      <w:r w:rsidR="00B42852" w:rsidRPr="0080160C">
        <w:t xml:space="preserve">prominenten Namensträgern: mit </w:t>
      </w:r>
      <w:r w:rsidR="004E04D7" w:rsidRPr="0080160C">
        <w:t xml:space="preserve">Albert wie </w:t>
      </w:r>
      <w:r w:rsidR="00B42852" w:rsidRPr="0080160C">
        <w:t xml:space="preserve">mit </w:t>
      </w:r>
      <w:r w:rsidR="004E04D7" w:rsidRPr="0080160C">
        <w:t>Alfred Einstein</w:t>
      </w:r>
      <w:r w:rsidR="00B42852" w:rsidRPr="0080160C">
        <w:t xml:space="preserve">, verwandt </w:t>
      </w:r>
      <w:r w:rsidR="00754FFB" w:rsidRPr="0080160C">
        <w:t>ist</w:t>
      </w:r>
      <w:r w:rsidR="004E04D7" w:rsidRPr="0080160C">
        <w:t xml:space="preserve">. </w:t>
      </w:r>
      <w:r w:rsidR="00106C91" w:rsidRPr="0080160C">
        <w:t xml:space="preserve">Der Vater ist Zigarettenfabrikant. Als erstes Mädchen </w:t>
      </w:r>
      <w:r w:rsidR="00727DA6" w:rsidRPr="0080160C">
        <w:t xml:space="preserve">besucht </w:t>
      </w:r>
      <w:r w:rsidR="00106C91" w:rsidRPr="0080160C">
        <w:t>sie</w:t>
      </w:r>
      <w:r w:rsidR="00714AF9" w:rsidRPr="0080160C">
        <w:t xml:space="preserve"> </w:t>
      </w:r>
      <w:r w:rsidR="00106C91" w:rsidRPr="0080160C">
        <w:t>das humanistische Gymnasium der Stadt und</w:t>
      </w:r>
      <w:r w:rsidR="00727DA6" w:rsidRPr="0080160C">
        <w:t xml:space="preserve"> studiert </w:t>
      </w:r>
      <w:r w:rsidR="00714AF9" w:rsidRPr="0080160C">
        <w:t xml:space="preserve">anschließend </w:t>
      </w:r>
      <w:r w:rsidR="00106C91" w:rsidRPr="0080160C">
        <w:t xml:space="preserve">Medizin </w:t>
      </w:r>
      <w:r w:rsidR="00714AF9" w:rsidRPr="0080160C">
        <w:t>in</w:t>
      </w:r>
      <w:r w:rsidR="00727DA6" w:rsidRPr="0080160C">
        <w:t xml:space="preserve"> Heidelberg</w:t>
      </w:r>
      <w:r w:rsidR="00714AF9" w:rsidRPr="0080160C">
        <w:t xml:space="preserve"> und</w:t>
      </w:r>
      <w:r w:rsidR="00727DA6" w:rsidRPr="0080160C">
        <w:t xml:space="preserve"> Freiburg</w:t>
      </w:r>
      <w:r w:rsidR="00106C91" w:rsidRPr="0080160C">
        <w:t>.</w:t>
      </w:r>
      <w:r w:rsidR="00727DA6" w:rsidRPr="0080160C">
        <w:t xml:space="preserve"> </w:t>
      </w:r>
      <w:r w:rsidR="00106C91" w:rsidRPr="0080160C">
        <w:t>Sie</w:t>
      </w:r>
      <w:r w:rsidR="00727DA6" w:rsidRPr="0080160C">
        <w:t xml:space="preserve"> </w:t>
      </w:r>
      <w:r w:rsidR="004E04D7" w:rsidRPr="0080160C">
        <w:t>promoviert in He</w:t>
      </w:r>
      <w:r w:rsidR="004E04D7" w:rsidRPr="0080160C">
        <w:t>i</w:t>
      </w:r>
      <w:r w:rsidR="004E04D7" w:rsidRPr="0080160C">
        <w:t xml:space="preserve">delberg. Ihre </w:t>
      </w:r>
      <w:r w:rsidR="00106C91" w:rsidRPr="0080160C">
        <w:t xml:space="preserve">Assistentenzeit absolviert sie in Berlin; ihre </w:t>
      </w:r>
      <w:r w:rsidR="004E04D7" w:rsidRPr="0080160C">
        <w:t>Lehrer sind</w:t>
      </w:r>
      <w:r w:rsidR="00727DA6" w:rsidRPr="0080160C">
        <w:t xml:space="preserve"> </w:t>
      </w:r>
      <w:r w:rsidR="00351067" w:rsidRPr="0080160C">
        <w:t xml:space="preserve">hier </w:t>
      </w:r>
      <w:r w:rsidR="004E04D7" w:rsidRPr="0080160C">
        <w:t xml:space="preserve">die </w:t>
      </w:r>
      <w:r w:rsidR="00351067" w:rsidRPr="0080160C">
        <w:t xml:space="preserve">jüdischen </w:t>
      </w:r>
      <w:r w:rsidR="004E04D7" w:rsidRPr="0080160C">
        <w:t>Pr</w:t>
      </w:r>
      <w:r w:rsidR="004E04D7" w:rsidRPr="0080160C">
        <w:t>o</w:t>
      </w:r>
      <w:r w:rsidR="004E04D7" w:rsidRPr="0080160C">
        <w:t xml:space="preserve">fessoren </w:t>
      </w:r>
      <w:r w:rsidR="00727DA6" w:rsidRPr="0080160C">
        <w:t>Georg Klemperer und Moritz Borchardt</w:t>
      </w:r>
      <w:r w:rsidR="00351067" w:rsidRPr="0080160C">
        <w:t>, beide prominente Fachvertreter</w:t>
      </w:r>
      <w:r w:rsidR="00727DA6" w:rsidRPr="0080160C">
        <w:t xml:space="preserve">. </w:t>
      </w:r>
      <w:r w:rsidR="004E04D7" w:rsidRPr="0080160C">
        <w:t>– 1</w:t>
      </w:r>
      <w:r w:rsidR="00D5331F" w:rsidRPr="0080160C">
        <w:t>92</w:t>
      </w:r>
      <w:r w:rsidR="004E04D7" w:rsidRPr="0080160C">
        <w:t>3</w:t>
      </w:r>
      <w:r w:rsidR="00D5331F" w:rsidRPr="0080160C">
        <w:t xml:space="preserve"> </w:t>
      </w:r>
      <w:r w:rsidR="00351067" w:rsidRPr="0080160C">
        <w:t xml:space="preserve">wird </w:t>
      </w:r>
      <w:r w:rsidR="00D5331F" w:rsidRPr="0080160C">
        <w:t>sie</w:t>
      </w:r>
      <w:r w:rsidR="004E04D7" w:rsidRPr="0080160C">
        <w:t xml:space="preserve"> </w:t>
      </w:r>
      <w:r w:rsidR="00727DA6" w:rsidRPr="0080160C">
        <w:t>Leitende Ärztin am Entbindungs- und Säuglingsheim des Deutschen Roten Kreuzes</w:t>
      </w:r>
      <w:r w:rsidR="00D5331F" w:rsidRPr="0080160C">
        <w:t xml:space="preserve"> i</w:t>
      </w:r>
      <w:r w:rsidR="004E04D7" w:rsidRPr="0080160C">
        <w:t>n Berlin-</w:t>
      </w:r>
      <w:r w:rsidR="00D5331F" w:rsidRPr="0080160C">
        <w:t>Lichtenberg</w:t>
      </w:r>
      <w:r w:rsidR="00351067" w:rsidRPr="0080160C">
        <w:t>.</w:t>
      </w:r>
      <w:r w:rsidR="00727DA6" w:rsidRPr="0080160C">
        <w:t xml:space="preserve"> </w:t>
      </w:r>
      <w:r w:rsidR="00351067" w:rsidRPr="0080160C">
        <w:t>S</w:t>
      </w:r>
      <w:r w:rsidR="004E04D7" w:rsidRPr="0080160C">
        <w:t xml:space="preserve">ie heiratet Erich </w:t>
      </w:r>
      <w:proofErr w:type="spellStart"/>
      <w:r w:rsidR="004E04D7" w:rsidRPr="0080160C">
        <w:t>Nathorff</w:t>
      </w:r>
      <w:proofErr w:type="spellEnd"/>
      <w:r w:rsidR="004E04D7" w:rsidRPr="0080160C">
        <w:t>, Oberarzt der Inneren Abteilung des Kra</w:t>
      </w:r>
      <w:r w:rsidR="004E04D7" w:rsidRPr="0080160C">
        <w:t>n</w:t>
      </w:r>
      <w:r w:rsidR="004E04D7" w:rsidRPr="0080160C">
        <w:t xml:space="preserve">kenhauses Moabit und Leiter der Tuberkulosefürsorge des Bezirks Tiergarten. </w:t>
      </w:r>
      <w:r w:rsidR="00351067" w:rsidRPr="0080160C">
        <w:t xml:space="preserve">Parallel zu </w:t>
      </w:r>
      <w:r w:rsidR="00351067" w:rsidRPr="0080160C">
        <w:lastRenderedPageBreak/>
        <w:t>ihrer Anstellung unterhalten</w:t>
      </w:r>
      <w:r w:rsidR="004E04D7" w:rsidRPr="0080160C">
        <w:t xml:space="preserve"> </w:t>
      </w:r>
      <w:r w:rsidR="00922827" w:rsidRPr="0080160C">
        <w:t>beid</w:t>
      </w:r>
      <w:r w:rsidR="004E04D7" w:rsidRPr="0080160C">
        <w:t>e</w:t>
      </w:r>
      <w:r w:rsidR="00922827" w:rsidRPr="0080160C">
        <w:t xml:space="preserve"> gemeinsam</w:t>
      </w:r>
      <w:r w:rsidR="004E04D7" w:rsidRPr="0080160C">
        <w:t xml:space="preserve"> </w:t>
      </w:r>
      <w:r w:rsidR="00922827" w:rsidRPr="0080160C">
        <w:t xml:space="preserve">bis 1938 </w:t>
      </w:r>
      <w:r w:rsidR="00351067" w:rsidRPr="0080160C">
        <w:t>eine Privatpraxis</w:t>
      </w:r>
      <w:r w:rsidR="00754FFB" w:rsidRPr="0080160C">
        <w:t>.</w:t>
      </w:r>
      <w:r w:rsidR="00922827" w:rsidRPr="0080160C">
        <w:rPr>
          <w:rStyle w:val="Funotenzeichen"/>
        </w:rPr>
        <w:footnoteReference w:id="16"/>
      </w:r>
      <w:r w:rsidR="00754FFB" w:rsidRPr="0080160C">
        <w:t xml:space="preserve"> </w:t>
      </w:r>
      <w:r w:rsidR="00351067" w:rsidRPr="0080160C">
        <w:t>– 1</w:t>
      </w:r>
      <w:r w:rsidR="004E04D7" w:rsidRPr="0080160C">
        <w:t xml:space="preserve">925 wird </w:t>
      </w:r>
      <w:r w:rsidR="00351067" w:rsidRPr="0080160C">
        <w:t>de</w:t>
      </w:r>
      <w:r w:rsidR="004E04D7" w:rsidRPr="0080160C">
        <w:t xml:space="preserve">r Sohn Heinz geboren. </w:t>
      </w:r>
      <w:r w:rsidR="00D5331F" w:rsidRPr="0080160C">
        <w:t xml:space="preserve">1928 </w:t>
      </w:r>
      <w:r w:rsidR="004E04D7" w:rsidRPr="0080160C">
        <w:t xml:space="preserve">wird </w:t>
      </w:r>
      <w:r w:rsidR="00351067" w:rsidRPr="0080160C">
        <w:t xml:space="preserve">Hertha </w:t>
      </w:r>
      <w:proofErr w:type="spellStart"/>
      <w:r w:rsidR="00351067" w:rsidRPr="0080160C">
        <w:t>Nathorff</w:t>
      </w:r>
      <w:proofErr w:type="spellEnd"/>
      <w:r w:rsidR="00351067" w:rsidRPr="0080160C">
        <w:t xml:space="preserve"> Leiterin der neu geschaffenen Familien- und Eheberatungsstelle des</w:t>
      </w:r>
      <w:r w:rsidR="00D5331F" w:rsidRPr="0080160C">
        <w:t xml:space="preserve"> Krankenhaus</w:t>
      </w:r>
      <w:r w:rsidR="00351067" w:rsidRPr="0080160C">
        <w:t>es Charlottenburg</w:t>
      </w:r>
      <w:r w:rsidR="00D5331F" w:rsidRPr="0080160C">
        <w:t xml:space="preserve">. </w:t>
      </w:r>
      <w:r w:rsidR="002D6641" w:rsidRPr="0080160C">
        <w:t>Sie ist Vorstandsmitglied verschied</w:t>
      </w:r>
      <w:r w:rsidR="002D6641" w:rsidRPr="0080160C">
        <w:t>e</w:t>
      </w:r>
      <w:r w:rsidR="002D6641" w:rsidRPr="0080160C">
        <w:t xml:space="preserve">ner ärztlicher Standesorganisationen und des Jüdischen Frauenbundes Deutschlands. </w:t>
      </w:r>
    </w:p>
    <w:p w:rsidR="00063CB4" w:rsidRPr="0080160C" w:rsidRDefault="00922827" w:rsidP="00D87B79">
      <w:pPr>
        <w:spacing w:after="0"/>
        <w:ind w:firstLine="708"/>
        <w:jc w:val="both"/>
      </w:pPr>
      <w:r w:rsidRPr="0080160C">
        <w:t xml:space="preserve">Hertha </w:t>
      </w:r>
      <w:proofErr w:type="spellStart"/>
      <w:r w:rsidRPr="0080160C">
        <w:t>Nathorff</w:t>
      </w:r>
      <w:proofErr w:type="spellEnd"/>
      <w:r w:rsidRPr="0080160C">
        <w:t xml:space="preserve"> wird </w:t>
      </w:r>
      <w:r w:rsidR="004E04D7" w:rsidRPr="0080160C">
        <w:t>1933</w:t>
      </w:r>
      <w:r w:rsidR="00D5331F" w:rsidRPr="0080160C">
        <w:t xml:space="preserve"> </w:t>
      </w:r>
      <w:r w:rsidR="00351067" w:rsidRPr="0080160C">
        <w:t>entlassen. Ihr Mann behält zunächst seine Stellung.</w:t>
      </w:r>
      <w:r w:rsidR="00D5331F" w:rsidRPr="0080160C">
        <w:t xml:space="preserve"> </w:t>
      </w:r>
      <w:r w:rsidR="00B2657B" w:rsidRPr="0080160C">
        <w:t>Die f</w:t>
      </w:r>
      <w:r w:rsidR="00B2657B" w:rsidRPr="0080160C">
        <w:t>i</w:t>
      </w:r>
      <w:r w:rsidR="00B2657B" w:rsidRPr="0080160C">
        <w:t xml:space="preserve">nanzielle Basis der Familie sind </w:t>
      </w:r>
      <w:proofErr w:type="spellStart"/>
      <w:r w:rsidR="00B2657B" w:rsidRPr="0080160C">
        <w:t>Nathorffs</w:t>
      </w:r>
      <w:proofErr w:type="spellEnd"/>
      <w:r w:rsidR="00B2657B" w:rsidRPr="0080160C">
        <w:t xml:space="preserve"> Gehalt und die offensichtlich weiterhin gut besuc</w:t>
      </w:r>
      <w:r w:rsidR="00B2657B" w:rsidRPr="0080160C">
        <w:t>h</w:t>
      </w:r>
      <w:r w:rsidR="00B2657B" w:rsidRPr="0080160C">
        <w:t>te Privatpraxis. Pläne für eine Emigration werden immer wieder erwogen, jedoch zurückg</w:t>
      </w:r>
      <w:r w:rsidR="00B2657B" w:rsidRPr="0080160C">
        <w:t>e</w:t>
      </w:r>
      <w:r w:rsidR="00B2657B" w:rsidRPr="0080160C">
        <w:t xml:space="preserve">stellt, weil die beruflichen Möglichkeiten in den potentiellen Aufnahmeländern unsicher </w:t>
      </w:r>
      <w:r w:rsidR="003D13E1" w:rsidRPr="0080160C">
        <w:t xml:space="preserve">sind </w:t>
      </w:r>
      <w:r w:rsidR="00B2657B" w:rsidRPr="0080160C">
        <w:t xml:space="preserve">und im Falle der Emigration nach Großbritannien oder </w:t>
      </w:r>
      <w:r w:rsidR="003D13E1" w:rsidRPr="0080160C">
        <w:t xml:space="preserve">in </w:t>
      </w:r>
      <w:r w:rsidR="00B2657B" w:rsidRPr="0080160C">
        <w:t>die USA eine Wiederholung der Examina erforderlich wäre. Der entscheidende Bruc</w:t>
      </w:r>
      <w:r w:rsidR="00903AD2" w:rsidRPr="0080160C">
        <w:t>h</w:t>
      </w:r>
      <w:r w:rsidR="00B2657B" w:rsidRPr="0080160C">
        <w:t xml:space="preserve"> findet 1938 sta</w:t>
      </w:r>
      <w:r w:rsidR="003D13E1" w:rsidRPr="0080160C">
        <w:t>tt</w:t>
      </w:r>
      <w:r w:rsidR="00B2657B" w:rsidRPr="0080160C">
        <w:t xml:space="preserve">: </w:t>
      </w:r>
      <w:r w:rsidR="002D6641" w:rsidRPr="0080160C">
        <w:t xml:space="preserve">Im Zusammenhang der Novemberpogrome wird </w:t>
      </w:r>
      <w:r w:rsidR="00903AD2" w:rsidRPr="0080160C">
        <w:t xml:space="preserve">Erich </w:t>
      </w:r>
      <w:proofErr w:type="spellStart"/>
      <w:r w:rsidR="00B2657B" w:rsidRPr="0080160C">
        <w:t>Nathorff</w:t>
      </w:r>
      <w:proofErr w:type="spellEnd"/>
      <w:r w:rsidR="00B2657B" w:rsidRPr="0080160C">
        <w:t xml:space="preserve"> verhaftet und für</w:t>
      </w:r>
      <w:r w:rsidR="002D6641" w:rsidRPr="0080160C">
        <w:t xml:space="preserve"> fünf Wochen i</w:t>
      </w:r>
      <w:r w:rsidR="00B2657B" w:rsidRPr="0080160C">
        <w:t>n eine</w:t>
      </w:r>
      <w:r w:rsidR="002D6641" w:rsidRPr="0080160C">
        <w:t>m Konzen</w:t>
      </w:r>
      <w:r w:rsidR="002D6641" w:rsidRPr="0080160C">
        <w:t>t</w:t>
      </w:r>
      <w:r w:rsidR="002D6641" w:rsidRPr="0080160C">
        <w:t xml:space="preserve">rationslager inhaftiert. </w:t>
      </w:r>
      <w:r w:rsidR="00266976" w:rsidRPr="0080160C">
        <w:t>Unter dem Eindruck dieses Ereignisses</w:t>
      </w:r>
      <w:r w:rsidR="00351067" w:rsidRPr="0080160C">
        <w:t xml:space="preserve"> bereiten</w:t>
      </w:r>
      <w:r w:rsidR="000B441C" w:rsidRPr="0080160C">
        <w:t xml:space="preserve"> Hertha </w:t>
      </w:r>
      <w:proofErr w:type="spellStart"/>
      <w:r w:rsidR="000B441C" w:rsidRPr="0080160C">
        <w:t>Nathorff</w:t>
      </w:r>
      <w:proofErr w:type="spellEnd"/>
      <w:r w:rsidR="000B441C" w:rsidRPr="0080160C">
        <w:t xml:space="preserve"> und ihr Mann</w:t>
      </w:r>
      <w:r w:rsidR="00B2657B" w:rsidRPr="0080160C">
        <w:t xml:space="preserve"> nunmehr </w:t>
      </w:r>
      <w:r w:rsidR="000B441C" w:rsidRPr="0080160C">
        <w:t xml:space="preserve">intensiv die Emigration in die USA vor. </w:t>
      </w:r>
      <w:r w:rsidR="00B2657B" w:rsidRPr="0080160C">
        <w:t xml:space="preserve">Um zunächst einmal das Kind in Sicherheit zu bringen, </w:t>
      </w:r>
      <w:r w:rsidR="000B441C" w:rsidRPr="0080160C">
        <w:t>wird</w:t>
      </w:r>
      <w:r w:rsidR="00351067" w:rsidRPr="0080160C">
        <w:t xml:space="preserve"> </w:t>
      </w:r>
      <w:r w:rsidR="000B441C" w:rsidRPr="0080160C">
        <w:t>d</w:t>
      </w:r>
      <w:r w:rsidR="002D6641" w:rsidRPr="0080160C">
        <w:t xml:space="preserve">er </w:t>
      </w:r>
      <w:r w:rsidR="00266976" w:rsidRPr="0080160C">
        <w:t xml:space="preserve">14-jährige </w:t>
      </w:r>
      <w:r w:rsidR="002D6641" w:rsidRPr="0080160C">
        <w:t xml:space="preserve">Sohn </w:t>
      </w:r>
      <w:r w:rsidR="00B2657B" w:rsidRPr="0080160C">
        <w:t xml:space="preserve">im März 1939 </w:t>
      </w:r>
      <w:r w:rsidR="00266976" w:rsidRPr="0080160C">
        <w:t>mit</w:t>
      </w:r>
      <w:r w:rsidR="002D6641" w:rsidRPr="0080160C">
        <w:t xml:space="preserve"> einem Kindertransport nach Großbritannien geschickt. </w:t>
      </w:r>
      <w:r w:rsidR="000B441C" w:rsidRPr="0080160C">
        <w:t>A</w:t>
      </w:r>
      <w:r w:rsidR="003136F7" w:rsidRPr="0080160C">
        <w:t xml:space="preserve">m </w:t>
      </w:r>
      <w:r w:rsidR="000B441C" w:rsidRPr="0080160C">
        <w:t xml:space="preserve">28. </w:t>
      </w:r>
      <w:r w:rsidR="003136F7" w:rsidRPr="0080160C">
        <w:t xml:space="preserve">April 1939 </w:t>
      </w:r>
      <w:r w:rsidR="000B441C" w:rsidRPr="0080160C">
        <w:t xml:space="preserve">verlassen </w:t>
      </w:r>
      <w:r w:rsidR="00E615A8" w:rsidRPr="0080160C">
        <w:t>d</w:t>
      </w:r>
      <w:r w:rsidR="000B441C" w:rsidRPr="0080160C">
        <w:t>ie</w:t>
      </w:r>
      <w:r w:rsidR="00E615A8" w:rsidRPr="0080160C">
        <w:t xml:space="preserve"> </w:t>
      </w:r>
      <w:proofErr w:type="spellStart"/>
      <w:r w:rsidR="00E615A8" w:rsidRPr="0080160C">
        <w:t>Nathorffs</w:t>
      </w:r>
      <w:proofErr w:type="spellEnd"/>
      <w:r w:rsidR="000B441C" w:rsidRPr="0080160C">
        <w:t xml:space="preserve"> Deutschland. Das Aufnahmeland ist zuerst </w:t>
      </w:r>
      <w:r w:rsidR="003136F7" w:rsidRPr="0080160C">
        <w:t>Großbritannien</w:t>
      </w:r>
      <w:r w:rsidR="000B441C" w:rsidRPr="0080160C">
        <w:t>,</w:t>
      </w:r>
      <w:r w:rsidR="003136F7" w:rsidRPr="0080160C">
        <w:t xml:space="preserve"> </w:t>
      </w:r>
      <w:r w:rsidR="000B441C" w:rsidRPr="0080160C">
        <w:t xml:space="preserve">im Februar </w:t>
      </w:r>
      <w:r w:rsidR="003136F7" w:rsidRPr="0080160C">
        <w:t xml:space="preserve">1940 </w:t>
      </w:r>
      <w:r w:rsidR="00B2657B" w:rsidRPr="0080160C">
        <w:t>erfolgt die Übersiedlung</w:t>
      </w:r>
      <w:r w:rsidR="003136F7" w:rsidRPr="0080160C">
        <w:t xml:space="preserve"> die USA.</w:t>
      </w:r>
      <w:r w:rsidR="002D6641" w:rsidRPr="0080160C">
        <w:t xml:space="preserve"> Da </w:t>
      </w:r>
      <w:r w:rsidR="00B2657B" w:rsidRPr="0080160C">
        <w:t>– wie bereits gesagt – d</w:t>
      </w:r>
      <w:r w:rsidR="002D6641" w:rsidRPr="0080160C">
        <w:t xml:space="preserve">ie Studienabschlüsse nicht anerkannt werden, </w:t>
      </w:r>
      <w:r w:rsidR="00E615A8" w:rsidRPr="0080160C">
        <w:t>bestreit</w:t>
      </w:r>
      <w:r w:rsidR="002D6641" w:rsidRPr="0080160C">
        <w:t xml:space="preserve">et </w:t>
      </w:r>
      <w:r w:rsidR="00E615A8" w:rsidRPr="0080160C">
        <w:t xml:space="preserve">Hertha </w:t>
      </w:r>
      <w:proofErr w:type="spellStart"/>
      <w:r w:rsidR="00E615A8" w:rsidRPr="0080160C">
        <w:t>Nathorff</w:t>
      </w:r>
      <w:proofErr w:type="spellEnd"/>
      <w:r w:rsidR="00E615A8" w:rsidRPr="0080160C">
        <w:t xml:space="preserve"> während der Zeit, in der ihr Mann seine Examina wiederholt, den Lebensunterhalt der Familie durch Arbeit </w:t>
      </w:r>
      <w:r w:rsidR="002D6641" w:rsidRPr="0080160C">
        <w:t xml:space="preserve">als Krankenpflegerin. </w:t>
      </w:r>
      <w:r w:rsidR="00754FFB" w:rsidRPr="0080160C">
        <w:t>Später arbeitet sie als Psychotherapeutin. – H</w:t>
      </w:r>
      <w:r w:rsidR="002D6641" w:rsidRPr="0080160C">
        <w:t xml:space="preserve">ertha </w:t>
      </w:r>
      <w:proofErr w:type="spellStart"/>
      <w:r w:rsidR="002D6641" w:rsidRPr="0080160C">
        <w:t>Nathorff</w:t>
      </w:r>
      <w:proofErr w:type="spellEnd"/>
      <w:r w:rsidR="002D6641" w:rsidRPr="0080160C">
        <w:t xml:space="preserve"> stirbt am 10. Juni 1993 in New York.</w:t>
      </w:r>
    </w:p>
    <w:p w:rsidR="0023249D" w:rsidRPr="0080160C" w:rsidRDefault="0023249D" w:rsidP="00D87B79">
      <w:pPr>
        <w:spacing w:after="0"/>
        <w:ind w:firstLine="708"/>
        <w:jc w:val="both"/>
      </w:pPr>
    </w:p>
    <w:p w:rsidR="0023249D" w:rsidRPr="0080160C" w:rsidRDefault="0023249D" w:rsidP="00D87B79">
      <w:pPr>
        <w:spacing w:after="0"/>
        <w:ind w:firstLine="708"/>
        <w:jc w:val="both"/>
      </w:pPr>
      <w:r w:rsidRPr="0080160C">
        <w:t xml:space="preserve">Der Antisemitismus ist für Hertha </w:t>
      </w:r>
      <w:proofErr w:type="spellStart"/>
      <w:r w:rsidRPr="0080160C">
        <w:t>Nathorff</w:t>
      </w:r>
      <w:proofErr w:type="spellEnd"/>
      <w:r w:rsidRPr="0080160C">
        <w:t xml:space="preserve"> keine neue Erfahrung. Sie begegnet ihm bereits bei ihrem Praktikum in der Freiburger Universitätsklinik. Freiburg ist eine „Hochburg des deutschnationalen Gedankens und des Antisemitismus“. „Die Kollegen grüßten mich nicht, beachteten mich nicht – sie lasen ihre </w:t>
      </w:r>
      <w:proofErr w:type="spellStart"/>
      <w:r w:rsidRPr="0080160C">
        <w:t>Hugenbergzeitung</w:t>
      </w:r>
      <w:proofErr w:type="spellEnd"/>
      <w:r w:rsidR="002E30F4" w:rsidRPr="0080160C">
        <w:rPr>
          <w:rStyle w:val="Funotenzeichen"/>
        </w:rPr>
        <w:footnoteReference w:id="17"/>
      </w:r>
      <w:r w:rsidRPr="0080160C">
        <w:t xml:space="preserve"> vor dem Kolleg und scha</w:t>
      </w:r>
      <w:r w:rsidRPr="0080160C">
        <w:t>u</w:t>
      </w:r>
      <w:r w:rsidRPr="0080160C">
        <w:t>ten nicht auf, wenn ich mich pflichtgemäß dazugesellte. ‚</w:t>
      </w:r>
      <w:proofErr w:type="spellStart"/>
      <w:r w:rsidRPr="0080160C">
        <w:t>Daß</w:t>
      </w:r>
      <w:proofErr w:type="spellEnd"/>
      <w:r w:rsidRPr="0080160C">
        <w:t xml:space="preserve"> Sie Einstein heißen, ist hier keine Empfehlung für Sie‘, sagte mir der Geheimrat [ihr akademischer Lehrer].“</w:t>
      </w:r>
      <w:r w:rsidRPr="0080160C">
        <w:rPr>
          <w:rStyle w:val="Funotenzeichen"/>
        </w:rPr>
        <w:footnoteReference w:id="18"/>
      </w:r>
      <w:r w:rsidRPr="0080160C">
        <w:t xml:space="preserve"> In Berlin ist das anders. Die Organisation des kommunalen Gesundheitswesens orientiert sich an den Vorstellungen der Reformmedizin. </w:t>
      </w:r>
      <w:r w:rsidR="00086D58" w:rsidRPr="0080160C">
        <w:t>I</w:t>
      </w:r>
      <w:r w:rsidRPr="0080160C">
        <w:t xml:space="preserve">n leitenden Positionen Frauen </w:t>
      </w:r>
      <w:r w:rsidR="00086D58" w:rsidRPr="0080160C">
        <w:t xml:space="preserve">sind </w:t>
      </w:r>
      <w:r w:rsidRPr="0080160C">
        <w:t>beschäftigt</w:t>
      </w:r>
      <w:r w:rsidR="00086D58" w:rsidRPr="0080160C">
        <w:t>; ebenso</w:t>
      </w:r>
      <w:r w:rsidRPr="0080160C">
        <w:t xml:space="preserve"> selbstverständlich </w:t>
      </w:r>
      <w:r w:rsidR="00086D58" w:rsidRPr="0080160C">
        <w:t xml:space="preserve">sind </w:t>
      </w:r>
      <w:r w:rsidRPr="0080160C">
        <w:t>jüdische Ärzte.</w:t>
      </w:r>
    </w:p>
    <w:p w:rsidR="00266976" w:rsidRPr="0080160C" w:rsidRDefault="00CB0238" w:rsidP="00D87B79">
      <w:pPr>
        <w:spacing w:after="0"/>
        <w:ind w:firstLine="708"/>
        <w:jc w:val="both"/>
      </w:pPr>
      <w:r w:rsidRPr="0080160C">
        <w:t>Der Herausgeber</w:t>
      </w:r>
      <w:r w:rsidR="00B2657B" w:rsidRPr="0080160C">
        <w:t xml:space="preserve"> des </w:t>
      </w:r>
      <w:r w:rsidR="00B2657B" w:rsidRPr="0080160C">
        <w:rPr>
          <w:i/>
        </w:rPr>
        <w:t>Tagebuchs</w:t>
      </w:r>
      <w:r w:rsidRPr="0080160C">
        <w:t xml:space="preserve">, Wolfgang Benz, fasst die Intention </w:t>
      </w:r>
      <w:r w:rsidR="00B2657B" w:rsidRPr="0080160C">
        <w:t xml:space="preserve">Hertha </w:t>
      </w:r>
      <w:proofErr w:type="spellStart"/>
      <w:r w:rsidR="00B2657B" w:rsidRPr="0080160C">
        <w:t>Nathorffs</w:t>
      </w:r>
      <w:proofErr w:type="spellEnd"/>
      <w:r w:rsidR="00B2657B" w:rsidRPr="0080160C">
        <w:t xml:space="preserve"> </w:t>
      </w:r>
      <w:r w:rsidRPr="0080160C">
        <w:t>in einem Zitat aus</w:t>
      </w:r>
      <w:r w:rsidR="00B2657B" w:rsidRPr="0080160C">
        <w:t xml:space="preserve"> ihren </w:t>
      </w:r>
      <w:r w:rsidRPr="0080160C">
        <w:t xml:space="preserve">hinterlassenen Notizen zusammen. Die Formulierungen, die dabei </w:t>
      </w:r>
      <w:r w:rsidR="006301A4" w:rsidRPr="0080160C">
        <w:t>fallen</w:t>
      </w:r>
      <w:r w:rsidRPr="0080160C">
        <w:t xml:space="preserve">, gehören zu den eindrucksvollsten Zeugnissen von Verfolgung und Exil. </w:t>
      </w:r>
      <w:r w:rsidR="00580141" w:rsidRPr="0080160C">
        <w:t xml:space="preserve">Hertha </w:t>
      </w:r>
      <w:proofErr w:type="spellStart"/>
      <w:r w:rsidR="00580141" w:rsidRPr="0080160C">
        <w:t>N</w:t>
      </w:r>
      <w:r w:rsidR="00580141" w:rsidRPr="0080160C">
        <w:t>a</w:t>
      </w:r>
      <w:r w:rsidR="00580141" w:rsidRPr="0080160C">
        <w:t>thorff</w:t>
      </w:r>
      <w:proofErr w:type="spellEnd"/>
      <w:r w:rsidRPr="0080160C">
        <w:t xml:space="preserve"> sagt, ihr Tagebuch sei das Vermächtnis einer Frau, „</w:t>
      </w:r>
      <w:r w:rsidRPr="0080160C">
        <w:rPr>
          <w:i/>
        </w:rPr>
        <w:t>der der Himmel schon vor der G</w:t>
      </w:r>
      <w:r w:rsidRPr="0080160C">
        <w:rPr>
          <w:i/>
        </w:rPr>
        <w:t>e</w:t>
      </w:r>
      <w:r w:rsidRPr="0080160C">
        <w:rPr>
          <w:i/>
        </w:rPr>
        <w:t xml:space="preserve">burt das doppelte </w:t>
      </w:r>
      <w:proofErr w:type="spellStart"/>
      <w:r w:rsidRPr="0080160C">
        <w:rPr>
          <w:i/>
        </w:rPr>
        <w:t>Mißgeschick</w:t>
      </w:r>
      <w:proofErr w:type="spellEnd"/>
      <w:r w:rsidRPr="0080160C">
        <w:rPr>
          <w:i/>
        </w:rPr>
        <w:t xml:space="preserve"> auferlegt hat: deutsch zu sein und Jüdin zugleich</w:t>
      </w:r>
      <w:r w:rsidRPr="0080160C">
        <w:t xml:space="preserve">. Eine, die weiß und bekennt: mein Herz ist ein Archiv deutschen Gefühls, doch mit dem Deutschland von heute habe ich nichts mehr zu tun. </w:t>
      </w:r>
      <w:r w:rsidRPr="0080160C">
        <w:rPr>
          <w:i/>
        </w:rPr>
        <w:t>Sie haben meine Seele verbrannt, mein Leben zerstört, meine Jugend, meinen Frohsinn, mein ganzes Ich ausgelöscht wie der Sturm ein brennendes Licht</w:t>
      </w:r>
      <w:r w:rsidRPr="0080160C">
        <w:t>, wie das geschah: Meine Blätter mögen es erzählen.“</w:t>
      </w:r>
      <w:r w:rsidRPr="0080160C">
        <w:rPr>
          <w:rStyle w:val="Funotenzeichen"/>
        </w:rPr>
        <w:footnoteReference w:id="19"/>
      </w:r>
    </w:p>
    <w:p w:rsidR="0023249D" w:rsidRPr="0080160C" w:rsidRDefault="0023249D" w:rsidP="00D87B79">
      <w:pPr>
        <w:spacing w:after="0"/>
        <w:ind w:firstLine="708"/>
        <w:jc w:val="both"/>
      </w:pPr>
    </w:p>
    <w:p w:rsidR="00CB0238" w:rsidRPr="0080160C" w:rsidRDefault="00580141" w:rsidP="00D87B79">
      <w:pPr>
        <w:spacing w:after="0"/>
        <w:ind w:firstLine="708"/>
        <w:jc w:val="both"/>
      </w:pPr>
      <w:r w:rsidRPr="0080160C">
        <w:t xml:space="preserve">Der zum Preisausschreiben eingesandte Text ist ein Konstrukt, das auf der Basis von Notizen und Erinnerungen zusammengestellt wurde. </w:t>
      </w:r>
      <w:r w:rsidR="002D6641" w:rsidRPr="0080160C">
        <w:t xml:space="preserve">Das originale Tagebuch ging zusammen mit dem Umzugsgut verloren. </w:t>
      </w:r>
      <w:r w:rsidR="00266976" w:rsidRPr="0080160C">
        <w:t xml:space="preserve">Das </w:t>
      </w:r>
      <w:r w:rsidR="00266976" w:rsidRPr="0080160C">
        <w:rPr>
          <w:i/>
        </w:rPr>
        <w:t>Tagebuch</w:t>
      </w:r>
      <w:r w:rsidR="00266976" w:rsidRPr="0080160C">
        <w:t xml:space="preserve"> enthält p</w:t>
      </w:r>
      <w:r w:rsidR="00275CAF" w:rsidRPr="0080160C">
        <w:t xml:space="preserve">ro Jahr </w:t>
      </w:r>
      <w:r w:rsidR="00266976" w:rsidRPr="0080160C">
        <w:t>ca</w:t>
      </w:r>
      <w:r w:rsidR="00275CAF" w:rsidRPr="0080160C">
        <w:t>. 25 Einträge</w:t>
      </w:r>
      <w:r w:rsidRPr="0080160C">
        <w:t>. Sie</w:t>
      </w:r>
      <w:r w:rsidR="00275CAF" w:rsidRPr="0080160C">
        <w:t xml:space="preserve"> umfassen </w:t>
      </w:r>
      <w:r w:rsidRPr="0080160C">
        <w:t xml:space="preserve">manchmal </w:t>
      </w:r>
      <w:r w:rsidR="00275CAF" w:rsidRPr="0080160C">
        <w:t>nur wenige Zeilen, in der Regel jedoch etwas mehr als eine halbe Druckseite.</w:t>
      </w:r>
      <w:r w:rsidRPr="0080160C">
        <w:t xml:space="preserve"> Das</w:t>
      </w:r>
      <w:r w:rsidR="00275CAF" w:rsidRPr="0080160C">
        <w:t xml:space="preserve"> </w:t>
      </w:r>
      <w:r w:rsidRPr="0080160C">
        <w:t>Jahr 1938 ist m</w:t>
      </w:r>
      <w:r w:rsidR="00275CAF" w:rsidRPr="0080160C">
        <w:t xml:space="preserve">it 44 Einträgen am </w:t>
      </w:r>
      <w:r w:rsidRPr="0080160C">
        <w:t>intensiv</w:t>
      </w:r>
      <w:r w:rsidR="00275CAF" w:rsidRPr="0080160C">
        <w:t>sten dokumentiert.</w:t>
      </w:r>
      <w:r w:rsidR="002D6641" w:rsidRPr="0080160C">
        <w:t xml:space="preserve"> </w:t>
      </w:r>
      <w:r w:rsidRPr="0080160C">
        <w:t>Es entsteht gleichwohl der Ei</w:t>
      </w:r>
      <w:r w:rsidRPr="0080160C">
        <w:t>n</w:t>
      </w:r>
      <w:r w:rsidRPr="0080160C">
        <w:t xml:space="preserve">druck eines geschlossenen, fortlaufenden Textes. </w:t>
      </w:r>
      <w:r w:rsidR="003D13E1" w:rsidRPr="0080160C">
        <w:t xml:space="preserve">Der Rezipient </w:t>
      </w:r>
      <w:r w:rsidRPr="0080160C">
        <w:t xml:space="preserve">unterliegt </w:t>
      </w:r>
      <w:r w:rsidR="003D13E1" w:rsidRPr="0080160C">
        <w:t>dabei</w:t>
      </w:r>
      <w:r w:rsidRPr="0080160C">
        <w:t xml:space="preserve"> einer Tä</w:t>
      </w:r>
      <w:r w:rsidRPr="0080160C">
        <w:t>u</w:t>
      </w:r>
      <w:r w:rsidRPr="0080160C">
        <w:t>schung</w:t>
      </w:r>
      <w:r w:rsidR="003D13E1" w:rsidRPr="0080160C">
        <w:t>; er verkennt die absichtsvolle Konzeption dieses Textes</w:t>
      </w:r>
      <w:r w:rsidRPr="0080160C">
        <w:t xml:space="preserve">. </w:t>
      </w:r>
      <w:r w:rsidR="00CB0238" w:rsidRPr="0080160C">
        <w:t xml:space="preserve">Hertha </w:t>
      </w:r>
      <w:proofErr w:type="spellStart"/>
      <w:r w:rsidR="00CB0238" w:rsidRPr="0080160C">
        <w:t>Nathorff</w:t>
      </w:r>
      <w:proofErr w:type="spellEnd"/>
      <w:r w:rsidR="00CB0238" w:rsidRPr="0080160C">
        <w:t xml:space="preserve"> operiert g</w:t>
      </w:r>
      <w:r w:rsidR="00CB0238" w:rsidRPr="0080160C">
        <w:t>e</w:t>
      </w:r>
      <w:r w:rsidR="00CB0238" w:rsidRPr="0080160C">
        <w:t>zielt mit Leerstellen und Lücken; sie verfolgt durchgängige thematische Bereiche</w:t>
      </w:r>
      <w:r w:rsidR="003D13E1" w:rsidRPr="0080160C">
        <w:t>,</w:t>
      </w:r>
      <w:r w:rsidR="00CB0238" w:rsidRPr="0080160C">
        <w:t xml:space="preserve"> variiert zeitbezogen-politische Themen </w:t>
      </w:r>
      <w:r w:rsidR="003D13E1" w:rsidRPr="0080160C">
        <w:t>mit</w:t>
      </w:r>
      <w:r w:rsidR="00CB0238" w:rsidRPr="0080160C">
        <w:t xml:space="preserve"> scheinbar private</w:t>
      </w:r>
      <w:r w:rsidR="003D13E1" w:rsidRPr="0080160C">
        <w:t>n</w:t>
      </w:r>
      <w:r w:rsidR="00CB0238" w:rsidRPr="0080160C">
        <w:t>.</w:t>
      </w:r>
      <w:r w:rsidRPr="0080160C">
        <w:t xml:space="preserve"> D</w:t>
      </w:r>
      <w:r w:rsidR="003D13E1" w:rsidRPr="0080160C">
        <w:t>araus resultiert der</w:t>
      </w:r>
      <w:r w:rsidRPr="0080160C">
        <w:t xml:space="preserve"> Eindruck von Geschlossenheit und Vollständigkeit</w:t>
      </w:r>
      <w:r w:rsidR="003D13E1" w:rsidRPr="0080160C">
        <w:t xml:space="preserve">. Er ist Resultat des darstellerischen </w:t>
      </w:r>
      <w:r w:rsidRPr="0080160C">
        <w:t>Geschick</w:t>
      </w:r>
      <w:r w:rsidR="003D13E1" w:rsidRPr="0080160C">
        <w:t>s</w:t>
      </w:r>
      <w:r w:rsidRPr="0080160C">
        <w:t xml:space="preserve">, mit knappen und dann wieder ausführlicheren Eintragungen den </w:t>
      </w:r>
      <w:r w:rsidR="003D13E1" w:rsidRPr="0080160C">
        <w:t>Anschein</w:t>
      </w:r>
      <w:r w:rsidRPr="0080160C">
        <w:t xml:space="preserve"> zu erwecken, die Ei</w:t>
      </w:r>
      <w:r w:rsidRPr="0080160C">
        <w:t>n</w:t>
      </w:r>
      <w:r w:rsidRPr="0080160C">
        <w:t xml:space="preserve">träge formulierten </w:t>
      </w:r>
      <w:r w:rsidR="003D13E1" w:rsidRPr="0080160C">
        <w:t xml:space="preserve">nichts anderes als </w:t>
      </w:r>
      <w:r w:rsidRPr="0080160C">
        <w:t xml:space="preserve">spontane Eindrücke und </w:t>
      </w:r>
      <w:r w:rsidR="003D13E1" w:rsidRPr="0080160C">
        <w:t xml:space="preserve">ebenso spontane </w:t>
      </w:r>
      <w:r w:rsidRPr="0080160C">
        <w:t xml:space="preserve">Reflexionen. </w:t>
      </w:r>
    </w:p>
    <w:p w:rsidR="0026592B" w:rsidRPr="0080160C" w:rsidRDefault="00835546" w:rsidP="00D87B79">
      <w:pPr>
        <w:spacing w:after="0"/>
        <w:jc w:val="both"/>
      </w:pPr>
      <w:r w:rsidRPr="0080160C">
        <w:tab/>
      </w:r>
      <w:r w:rsidR="00FC635D" w:rsidRPr="0080160C">
        <w:t>Zu den Wirkungsabsichten des Textes gehört</w:t>
      </w:r>
      <w:r w:rsidR="00580141" w:rsidRPr="0080160C">
        <w:t xml:space="preserve">, </w:t>
      </w:r>
      <w:r w:rsidR="00FC635D" w:rsidRPr="0080160C">
        <w:t xml:space="preserve">dass der </w:t>
      </w:r>
      <w:r w:rsidR="00903AD2" w:rsidRPr="0080160C">
        <w:t>Anschein</w:t>
      </w:r>
      <w:r w:rsidR="00FC635D" w:rsidRPr="0080160C">
        <w:t xml:space="preserve"> entsteht, hier</w:t>
      </w:r>
      <w:r w:rsidR="002A3F24" w:rsidRPr="0080160C">
        <w:t xml:space="preserve"> werde</w:t>
      </w:r>
      <w:r w:rsidR="00D747FA" w:rsidRPr="0080160C">
        <w:t xml:space="preserve"> nur „Bemerkenswerte</w:t>
      </w:r>
      <w:r w:rsidR="00580141" w:rsidRPr="0080160C">
        <w:t>s</w:t>
      </w:r>
      <w:r w:rsidR="00903AD2" w:rsidRPr="0080160C">
        <w:t>“</w:t>
      </w:r>
      <w:r w:rsidR="00580141" w:rsidRPr="0080160C">
        <w:t xml:space="preserve"> annoncier</w:t>
      </w:r>
      <w:r w:rsidR="00D747FA" w:rsidRPr="0080160C">
        <w:t xml:space="preserve">t. Tatsächlich handelt es sich </w:t>
      </w:r>
      <w:r w:rsidR="002A3F24" w:rsidRPr="0080160C">
        <w:t xml:space="preserve">jedoch </w:t>
      </w:r>
      <w:r w:rsidR="00D747FA" w:rsidRPr="0080160C">
        <w:t>um eine subtile Ko</w:t>
      </w:r>
      <w:r w:rsidR="00D747FA" w:rsidRPr="0080160C">
        <w:t>l</w:t>
      </w:r>
      <w:r w:rsidR="00D747FA" w:rsidRPr="0080160C">
        <w:t>lage unterschiedlicher</w:t>
      </w:r>
      <w:r w:rsidR="00CB0238" w:rsidRPr="0080160C">
        <w:t>, mit Bedacht ausgewählter</w:t>
      </w:r>
      <w:r w:rsidR="00D747FA" w:rsidRPr="0080160C">
        <w:t xml:space="preserve"> Schwerpunkte</w:t>
      </w:r>
      <w:r w:rsidR="00F34AD9" w:rsidRPr="0080160C">
        <w:t>:</w:t>
      </w:r>
      <w:r w:rsidR="00CB0238" w:rsidRPr="0080160C">
        <w:t xml:space="preserve"> </w:t>
      </w:r>
      <w:r w:rsidR="002A3F24" w:rsidRPr="0080160C">
        <w:t xml:space="preserve">der Darstellung </w:t>
      </w:r>
      <w:r w:rsidR="00D747FA" w:rsidRPr="0080160C">
        <w:t xml:space="preserve">des </w:t>
      </w:r>
      <w:r w:rsidR="002A3F24" w:rsidRPr="0080160C">
        <w:t>berufl</w:t>
      </w:r>
      <w:r w:rsidR="002A3F24" w:rsidRPr="0080160C">
        <w:t>i</w:t>
      </w:r>
      <w:r w:rsidR="002A3F24" w:rsidRPr="0080160C">
        <w:t>ch</w:t>
      </w:r>
      <w:r w:rsidR="00D747FA" w:rsidRPr="0080160C">
        <w:t>en Engagement</w:t>
      </w:r>
      <w:r w:rsidR="00FC635D" w:rsidRPr="0080160C">
        <w:t>s</w:t>
      </w:r>
      <w:r w:rsidR="00D747FA" w:rsidRPr="0080160C">
        <w:t xml:space="preserve"> – </w:t>
      </w:r>
      <w:r w:rsidR="002A3F24" w:rsidRPr="0080160C">
        <w:t xml:space="preserve">als Medizinerin ist </w:t>
      </w:r>
      <w:r w:rsidR="00FC635D" w:rsidRPr="0080160C">
        <w:t xml:space="preserve">Hertha </w:t>
      </w:r>
      <w:proofErr w:type="spellStart"/>
      <w:r w:rsidR="00FC635D" w:rsidRPr="0080160C">
        <w:t>Nathorff</w:t>
      </w:r>
      <w:proofErr w:type="spellEnd"/>
      <w:r w:rsidR="00D747FA" w:rsidRPr="0080160C">
        <w:t xml:space="preserve"> </w:t>
      </w:r>
      <w:r w:rsidR="00F34AD9" w:rsidRPr="0080160C">
        <w:t>i</w:t>
      </w:r>
      <w:r w:rsidR="00FC635D" w:rsidRPr="0080160C">
        <w:t xml:space="preserve">n einem zentralen </w:t>
      </w:r>
      <w:r w:rsidR="00F34AD9" w:rsidRPr="0080160C">
        <w:t xml:space="preserve">Bereich der </w:t>
      </w:r>
      <w:r w:rsidR="00FC635D" w:rsidRPr="0080160C">
        <w:t>m</w:t>
      </w:r>
      <w:r w:rsidR="00FC635D" w:rsidRPr="0080160C">
        <w:t>e</w:t>
      </w:r>
      <w:r w:rsidR="00FC635D" w:rsidRPr="0080160C">
        <w:t>dizinischen Reformbewegung</w:t>
      </w:r>
      <w:r w:rsidR="00F34AD9" w:rsidRPr="0080160C">
        <w:t xml:space="preserve"> </w:t>
      </w:r>
      <w:r w:rsidR="00D747FA" w:rsidRPr="0080160C">
        <w:t>tätig</w:t>
      </w:r>
      <w:r w:rsidR="002A3F24" w:rsidRPr="0080160C">
        <w:t xml:space="preserve">, </w:t>
      </w:r>
      <w:r w:rsidR="00FC635D" w:rsidRPr="0080160C">
        <w:t>sie leitet eine Ehe- und Familienb</w:t>
      </w:r>
      <w:r w:rsidR="00D747FA" w:rsidRPr="0080160C">
        <w:t>eratungsstelle</w:t>
      </w:r>
      <w:r w:rsidR="00FC635D" w:rsidRPr="0080160C">
        <w:t>, einen politisch umstrittenen</w:t>
      </w:r>
      <w:r w:rsidR="00D747FA" w:rsidRPr="0080160C">
        <w:t xml:space="preserve"> Bereich </w:t>
      </w:r>
      <w:r w:rsidR="00FC635D" w:rsidRPr="0080160C">
        <w:t xml:space="preserve">der medizinischen Betreuung </w:t>
      </w:r>
      <w:r w:rsidR="00D747FA" w:rsidRPr="0080160C">
        <w:t>–, de</w:t>
      </w:r>
      <w:r w:rsidRPr="0080160C">
        <w:t>r</w:t>
      </w:r>
      <w:r w:rsidR="00D747FA" w:rsidRPr="0080160C">
        <w:t xml:space="preserve"> enge</w:t>
      </w:r>
      <w:r w:rsidRPr="0080160C">
        <w:t>n</w:t>
      </w:r>
      <w:r w:rsidR="00D747FA" w:rsidRPr="0080160C">
        <w:t xml:space="preserve"> </w:t>
      </w:r>
      <w:r w:rsidR="00086D58" w:rsidRPr="0080160C">
        <w:t xml:space="preserve">persönlichen </w:t>
      </w:r>
      <w:r w:rsidR="00D747FA" w:rsidRPr="0080160C">
        <w:t>Bi</w:t>
      </w:r>
      <w:r w:rsidR="00D747FA" w:rsidRPr="0080160C">
        <w:t>n</w:t>
      </w:r>
      <w:r w:rsidR="00D747FA" w:rsidRPr="0080160C">
        <w:t xml:space="preserve">dung an die </w:t>
      </w:r>
      <w:r w:rsidR="00086D58" w:rsidRPr="0080160C">
        <w:t xml:space="preserve">eigenen </w:t>
      </w:r>
      <w:r w:rsidR="00D747FA" w:rsidRPr="0080160C">
        <w:t xml:space="preserve">Patienten – </w:t>
      </w:r>
      <w:r w:rsidR="002A3F24" w:rsidRPr="0080160C">
        <w:t xml:space="preserve">Hertha </w:t>
      </w:r>
      <w:proofErr w:type="spellStart"/>
      <w:r w:rsidR="002A3F24" w:rsidRPr="0080160C">
        <w:t>Nathorff</w:t>
      </w:r>
      <w:proofErr w:type="spellEnd"/>
      <w:r w:rsidR="00D747FA" w:rsidRPr="0080160C">
        <w:t xml:space="preserve"> </w:t>
      </w:r>
      <w:r w:rsidR="00086D58" w:rsidRPr="0080160C">
        <w:t xml:space="preserve">berät ihre Patienten intensiv, in schwierigen Fällen zieht sie fachliche Autoritäten zur Hilfe, was im NS-Regime dadurch zum Problem wird, </w:t>
      </w:r>
      <w:r w:rsidR="001678FE" w:rsidRPr="0080160C">
        <w:t>dass „arische“ Kollegen nicht ohne weiteres bereit sind, mit einer jüdischen Kollegin zusammenzuarbeiten</w:t>
      </w:r>
      <w:r w:rsidR="00F34AD9" w:rsidRPr="0080160C">
        <w:t xml:space="preserve"> </w:t>
      </w:r>
      <w:r w:rsidR="00D747FA" w:rsidRPr="0080160C">
        <w:t xml:space="preserve">– </w:t>
      </w:r>
      <w:r w:rsidRPr="0080160C">
        <w:t>und</w:t>
      </w:r>
      <w:r w:rsidR="00D747FA" w:rsidRPr="0080160C">
        <w:t xml:space="preserve"> de</w:t>
      </w:r>
      <w:r w:rsidRPr="0080160C">
        <w:t>r</w:t>
      </w:r>
      <w:r w:rsidR="00D747FA" w:rsidRPr="0080160C">
        <w:t xml:space="preserve"> emotionale</w:t>
      </w:r>
      <w:r w:rsidRPr="0080160C">
        <w:t>n</w:t>
      </w:r>
      <w:r w:rsidR="00D747FA" w:rsidRPr="0080160C">
        <w:t xml:space="preserve"> Bedeutung ihrer </w:t>
      </w:r>
      <w:r w:rsidR="001678FE" w:rsidRPr="0080160C">
        <w:t>Familie</w:t>
      </w:r>
      <w:r w:rsidR="00FC635D" w:rsidRPr="0080160C">
        <w:t xml:space="preserve">. </w:t>
      </w:r>
      <w:r w:rsidR="001678FE" w:rsidRPr="0080160C">
        <w:t xml:space="preserve">Immer wieder finden </w:t>
      </w:r>
      <w:r w:rsidR="00FC635D" w:rsidRPr="0080160C">
        <w:t>scheinbar</w:t>
      </w:r>
      <w:r w:rsidR="00F34AD9" w:rsidRPr="0080160C">
        <w:t xml:space="preserve"> </w:t>
      </w:r>
      <w:r w:rsidR="001678FE" w:rsidRPr="0080160C">
        <w:t>unwichtige Details Erwähnung</w:t>
      </w:r>
      <w:r w:rsidR="00FC635D" w:rsidRPr="0080160C">
        <w:t xml:space="preserve">: </w:t>
      </w:r>
      <w:r w:rsidR="002E30F4" w:rsidRPr="0080160C">
        <w:t>e</w:t>
      </w:r>
      <w:r w:rsidR="001678FE" w:rsidRPr="0080160C">
        <w:t>in Blumenstrauß</w:t>
      </w:r>
      <w:r w:rsidR="00FC635D" w:rsidRPr="0080160C">
        <w:t xml:space="preserve"> ihres Mannes</w:t>
      </w:r>
      <w:r w:rsidR="001678FE" w:rsidRPr="0080160C">
        <w:t xml:space="preserve"> zum Geburtstag</w:t>
      </w:r>
      <w:r w:rsidR="00903AD2" w:rsidRPr="0080160C">
        <w:t xml:space="preserve">, </w:t>
      </w:r>
      <w:r w:rsidR="001678FE" w:rsidRPr="0080160C">
        <w:t>das</w:t>
      </w:r>
      <w:r w:rsidR="00903AD2" w:rsidRPr="0080160C">
        <w:t xml:space="preserve"> i</w:t>
      </w:r>
      <w:r w:rsidR="001678FE" w:rsidRPr="0080160C">
        <w:t>m engsten</w:t>
      </w:r>
      <w:r w:rsidR="00903AD2" w:rsidRPr="0080160C">
        <w:t xml:space="preserve"> Familie</w:t>
      </w:r>
      <w:r w:rsidR="001678FE" w:rsidRPr="0080160C">
        <w:t xml:space="preserve">nkreis </w:t>
      </w:r>
      <w:r w:rsidR="00903AD2" w:rsidRPr="0080160C">
        <w:t xml:space="preserve">begangene </w:t>
      </w:r>
      <w:r w:rsidR="001678FE" w:rsidRPr="0080160C">
        <w:t>Weihnachtsfest</w:t>
      </w:r>
      <w:r w:rsidR="00903AD2" w:rsidRPr="0080160C">
        <w:t xml:space="preserve"> sowie </w:t>
      </w:r>
      <w:r w:rsidR="001678FE" w:rsidRPr="0080160C">
        <w:t xml:space="preserve">die wiederholten </w:t>
      </w:r>
      <w:r w:rsidR="00903AD2" w:rsidRPr="0080160C">
        <w:t>Besuche bei den Eltern</w:t>
      </w:r>
      <w:r w:rsidR="001678FE" w:rsidRPr="0080160C">
        <w:t xml:space="preserve"> in Laupheim. Dazu gehören auch Besuche bei dem „Geheimrat“: vermutlich M</w:t>
      </w:r>
      <w:r w:rsidR="001678FE" w:rsidRPr="0080160C">
        <w:t>o</w:t>
      </w:r>
      <w:r w:rsidR="001678FE" w:rsidRPr="0080160C">
        <w:t>ritz Borchardt</w:t>
      </w:r>
      <w:r w:rsidRPr="0080160C">
        <w:t>.</w:t>
      </w:r>
      <w:r w:rsidR="001678FE" w:rsidRPr="0080160C">
        <w:t xml:space="preserve"> Mit melancholischem Unterton wird vermerkt, dass der Kreis der Schüler bei den jährlichen Treffen immer kleiner wird und die „arischen“ Schüler bei diesen Treffen se</w:t>
      </w:r>
      <w:r w:rsidR="001678FE" w:rsidRPr="0080160C">
        <w:t>l</w:t>
      </w:r>
      <w:r w:rsidR="001678FE" w:rsidRPr="0080160C">
        <w:t>tener.</w:t>
      </w:r>
    </w:p>
    <w:p w:rsidR="00D747FA" w:rsidRPr="0080160C" w:rsidRDefault="002A3F24" w:rsidP="00D87B79">
      <w:pPr>
        <w:spacing w:after="0"/>
        <w:ind w:firstLine="708"/>
        <w:jc w:val="both"/>
      </w:pPr>
      <w:r w:rsidRPr="0080160C">
        <w:t>D</w:t>
      </w:r>
      <w:r w:rsidR="00835546" w:rsidRPr="0080160C">
        <w:t>urch die</w:t>
      </w:r>
      <w:r w:rsidR="00F34AD9" w:rsidRPr="0080160C">
        <w:t xml:space="preserve"> subtile</w:t>
      </w:r>
      <w:r w:rsidR="00835546" w:rsidRPr="0080160C">
        <w:t xml:space="preserve"> kompositorische Fügung </w:t>
      </w:r>
      <w:r w:rsidRPr="0080160C">
        <w:t xml:space="preserve">von Privatem, Beruflichem und </w:t>
      </w:r>
      <w:r w:rsidR="00F34AD9" w:rsidRPr="0080160C">
        <w:t>Öffentlich-Politisch</w:t>
      </w:r>
      <w:r w:rsidRPr="0080160C">
        <w:t xml:space="preserve">em </w:t>
      </w:r>
      <w:r w:rsidR="00835546" w:rsidRPr="0080160C">
        <w:t xml:space="preserve">tritt so ein Thema zentral ins Bewusstsein, das – in anderer Form präsentiert – möglicherweise nicht </w:t>
      </w:r>
      <w:r w:rsidRPr="0080160C">
        <w:t>derartig</w:t>
      </w:r>
      <w:r w:rsidR="00835546" w:rsidRPr="0080160C">
        <w:t xml:space="preserve"> eindrucksvoll in Erscheinung treten würde: das </w:t>
      </w:r>
      <w:r w:rsidR="00D747FA" w:rsidRPr="0080160C">
        <w:t>subtile Ge</w:t>
      </w:r>
      <w:r w:rsidR="00835546" w:rsidRPr="0080160C">
        <w:t>spür der Verfasserin</w:t>
      </w:r>
      <w:r w:rsidR="00D747FA" w:rsidRPr="0080160C">
        <w:t xml:space="preserve"> für die </w:t>
      </w:r>
      <w:r w:rsidR="00F34AD9" w:rsidRPr="0080160C">
        <w:t xml:space="preserve">Ungeheuerlichkeit der politischen Veränderungen, die sich zwischen 1933 und 1940 vollziehen, sowie </w:t>
      </w:r>
      <w:r w:rsidR="00903AD2" w:rsidRPr="0080160C">
        <w:t>für die</w:t>
      </w:r>
      <w:r w:rsidR="00F34AD9" w:rsidRPr="0080160C">
        <w:t xml:space="preserve"> </w:t>
      </w:r>
      <w:r w:rsidR="00D747FA" w:rsidRPr="0080160C">
        <w:t>charakterliche</w:t>
      </w:r>
      <w:r w:rsidR="00903AD2" w:rsidRPr="0080160C">
        <w:t>n</w:t>
      </w:r>
      <w:r w:rsidR="00D747FA" w:rsidRPr="0080160C">
        <w:t xml:space="preserve"> Schwächen, die unter dem Einfluss und Druck des NS-Regimes zutage treten. </w:t>
      </w:r>
      <w:r w:rsidR="00903AD2" w:rsidRPr="0080160C">
        <w:t xml:space="preserve">Langjährige </w:t>
      </w:r>
      <w:r w:rsidR="00F34AD9" w:rsidRPr="0080160C">
        <w:t xml:space="preserve">Patienten grüßen nicht mehr, </w:t>
      </w:r>
      <w:r w:rsidR="00E45B9A" w:rsidRPr="0080160C">
        <w:t>sie za</w:t>
      </w:r>
      <w:r w:rsidR="00E45B9A" w:rsidRPr="0080160C">
        <w:t>h</w:t>
      </w:r>
      <w:r w:rsidR="00E45B9A" w:rsidRPr="0080160C">
        <w:t>len auch nicht mehr</w:t>
      </w:r>
      <w:r w:rsidR="001678FE" w:rsidRPr="0080160C">
        <w:t>;</w:t>
      </w:r>
      <w:r w:rsidR="00E45B9A" w:rsidRPr="0080160C">
        <w:t xml:space="preserve"> Kollegen, mit denen man bisher befreundet war, desavouieren ihre jüd</w:t>
      </w:r>
      <w:r w:rsidR="00E45B9A" w:rsidRPr="0080160C">
        <w:t>i</w:t>
      </w:r>
      <w:r w:rsidR="00E45B9A" w:rsidRPr="0080160C">
        <w:t>schen Kollegen</w:t>
      </w:r>
      <w:r w:rsidR="002E30F4" w:rsidRPr="0080160C">
        <w:t>;</w:t>
      </w:r>
      <w:r w:rsidR="00E45B9A" w:rsidRPr="0080160C">
        <w:t xml:space="preserve"> </w:t>
      </w:r>
      <w:r w:rsidR="00903AD2" w:rsidRPr="0080160C">
        <w:t xml:space="preserve">gegen die Infamien, die jetzt die Regel sind, </w:t>
      </w:r>
      <w:r w:rsidR="00E45B9A" w:rsidRPr="0080160C">
        <w:t xml:space="preserve">erheben </w:t>
      </w:r>
      <w:r w:rsidR="00903AD2" w:rsidRPr="0080160C">
        <w:t xml:space="preserve">sie </w:t>
      </w:r>
      <w:r w:rsidR="00E45B9A" w:rsidRPr="0080160C">
        <w:t xml:space="preserve">nicht einmal Protest oder </w:t>
      </w:r>
      <w:r w:rsidR="00903AD2" w:rsidRPr="0080160C">
        <w:t xml:space="preserve">sie </w:t>
      </w:r>
      <w:r w:rsidR="00E45B9A" w:rsidRPr="0080160C">
        <w:t>bekennen sich offen als Nationalsozialisten</w:t>
      </w:r>
      <w:r w:rsidR="00903AD2" w:rsidRPr="0080160C">
        <w:t>, obwohl sie sich wenig vorher als radik</w:t>
      </w:r>
      <w:r w:rsidR="00903AD2" w:rsidRPr="0080160C">
        <w:t>a</w:t>
      </w:r>
      <w:r w:rsidR="00903AD2" w:rsidRPr="0080160C">
        <w:t>le Demokraten gegeben haben</w:t>
      </w:r>
      <w:r w:rsidR="00E45B9A" w:rsidRPr="0080160C">
        <w:t xml:space="preserve">. </w:t>
      </w:r>
      <w:r w:rsidR="0026592B" w:rsidRPr="0080160C">
        <w:t xml:space="preserve">Es wird </w:t>
      </w:r>
      <w:r w:rsidR="00903AD2" w:rsidRPr="0080160C">
        <w:t>wiederholt berichtet, ohne dass auf Details eingega</w:t>
      </w:r>
      <w:r w:rsidR="00903AD2" w:rsidRPr="0080160C">
        <w:t>n</w:t>
      </w:r>
      <w:r w:rsidR="00903AD2" w:rsidRPr="0080160C">
        <w:t>gen wird, dass sich erneut ein Kollege das Leben genommen hat. Ein</w:t>
      </w:r>
      <w:r w:rsidR="0026592B" w:rsidRPr="0080160C">
        <w:t xml:space="preserve"> Kommentar dazu erü</w:t>
      </w:r>
      <w:r w:rsidR="0026592B" w:rsidRPr="0080160C">
        <w:t>b</w:t>
      </w:r>
      <w:r w:rsidR="0026592B" w:rsidRPr="0080160C">
        <w:t>rigte sich ohnedies. Regelmäßig wird auf die Gefahr verwiesen, dass diese Tagebücher in fa</w:t>
      </w:r>
      <w:r w:rsidR="0026592B" w:rsidRPr="0080160C">
        <w:t>l</w:t>
      </w:r>
      <w:r w:rsidR="0026592B" w:rsidRPr="0080160C">
        <w:t xml:space="preserve">sche Hände geraten könnten. </w:t>
      </w:r>
      <w:r w:rsidR="00934677" w:rsidRPr="0080160C">
        <w:t xml:space="preserve">Namen werden ohnehin nicht genannt, die </w:t>
      </w:r>
      <w:r w:rsidR="0026592B" w:rsidRPr="0080160C">
        <w:t xml:space="preserve">Anonymisierungen </w:t>
      </w:r>
      <w:r w:rsidR="00934677" w:rsidRPr="0080160C">
        <w:t>identifizierbarer Personen und Umstände ist die R</w:t>
      </w:r>
      <w:r w:rsidR="0026592B" w:rsidRPr="0080160C">
        <w:t xml:space="preserve">egel. </w:t>
      </w:r>
      <w:r w:rsidR="00D747FA" w:rsidRPr="0080160C">
        <w:t xml:space="preserve">Die Judengesetzgebung </w:t>
      </w:r>
      <w:r w:rsidRPr="0080160C">
        <w:t>und ihre Fo</w:t>
      </w:r>
      <w:r w:rsidRPr="0080160C">
        <w:t>l</w:t>
      </w:r>
      <w:r w:rsidRPr="0080160C">
        <w:t>gen</w:t>
      </w:r>
      <w:r w:rsidR="00D747FA" w:rsidRPr="0080160C">
        <w:t xml:space="preserve"> gewinn</w:t>
      </w:r>
      <w:r w:rsidRPr="0080160C">
        <w:t>en</w:t>
      </w:r>
      <w:r w:rsidR="00D747FA" w:rsidRPr="0080160C">
        <w:t xml:space="preserve"> </w:t>
      </w:r>
      <w:r w:rsidR="0026592B" w:rsidRPr="0080160C">
        <w:t>auf diese Weise</w:t>
      </w:r>
      <w:r w:rsidR="00D747FA" w:rsidRPr="0080160C">
        <w:t xml:space="preserve"> eine immense Anschaulichkeit.</w:t>
      </w:r>
    </w:p>
    <w:p w:rsidR="00E45B9A" w:rsidRPr="0080160C" w:rsidRDefault="00E45B9A" w:rsidP="00D87B79">
      <w:pPr>
        <w:spacing w:after="0"/>
        <w:ind w:firstLine="708"/>
        <w:jc w:val="both"/>
      </w:pPr>
    </w:p>
    <w:p w:rsidR="00FF3528" w:rsidRPr="0080160C" w:rsidRDefault="00FF3528" w:rsidP="00D87B79">
      <w:pPr>
        <w:spacing w:after="0"/>
        <w:ind w:firstLine="708"/>
        <w:jc w:val="both"/>
      </w:pPr>
      <w:r w:rsidRPr="0080160C">
        <w:lastRenderedPageBreak/>
        <w:t xml:space="preserve">Das </w:t>
      </w:r>
      <w:r w:rsidRPr="0080160C">
        <w:rPr>
          <w:i/>
        </w:rPr>
        <w:t xml:space="preserve">Tagebuch </w:t>
      </w:r>
      <w:r w:rsidRPr="0080160C">
        <w:t>beginnt mit dem Eintrag zum 30. Januar 1933: „Hitler – Reichskan</w:t>
      </w:r>
      <w:r w:rsidRPr="0080160C">
        <w:t>z</w:t>
      </w:r>
      <w:r w:rsidRPr="0080160C">
        <w:t xml:space="preserve">ler.“ Es folgt die – scheinbar neutrale – Bemerkung: </w:t>
      </w:r>
    </w:p>
    <w:p w:rsidR="00D747FA" w:rsidRPr="0080160C" w:rsidRDefault="00FF3528" w:rsidP="00D87B79">
      <w:pPr>
        <w:spacing w:after="0"/>
        <w:ind w:left="567"/>
        <w:jc w:val="both"/>
      </w:pPr>
      <w:r w:rsidRPr="0080160C">
        <w:t>„Alle Leute sind erfüllt davon, meine Patienten reden von nichts anderem. Viele sind e</w:t>
      </w:r>
      <w:r w:rsidRPr="0080160C">
        <w:t>r</w:t>
      </w:r>
      <w:r w:rsidRPr="0080160C">
        <w:t>füllt von Freude, viele machen besorgte Ges</w:t>
      </w:r>
      <w:r w:rsidR="00E45B9A" w:rsidRPr="0080160C">
        <w:t>i</w:t>
      </w:r>
      <w:r w:rsidRPr="0080160C">
        <w:t>chter. Einig sind sich alle in den Worten: ‚Nun wird es anders‘. Ich aber, feinhörig wie ich bin, ich höre, wie sie an ihn glauben, glauben wollen, bereit, ihm zu dienen und mir ist, als hörte ich ein Blatt der Weltg</w:t>
      </w:r>
      <w:r w:rsidRPr="0080160C">
        <w:t>e</w:t>
      </w:r>
      <w:r w:rsidRPr="0080160C">
        <w:t>schichte umwenden, ein Blatt in einem Buche, dessen folgende Seiten mit wüstem und wirrem, unheilvollem Gekritzel beschrieben werden.“</w:t>
      </w:r>
      <w:r w:rsidRPr="0080160C">
        <w:rPr>
          <w:rStyle w:val="Funotenzeichen"/>
        </w:rPr>
        <w:footnoteReference w:id="20"/>
      </w:r>
    </w:p>
    <w:p w:rsidR="00835546" w:rsidRPr="0080160C" w:rsidRDefault="00FF3528" w:rsidP="00D87B79">
      <w:pPr>
        <w:spacing w:after="0"/>
        <w:jc w:val="both"/>
      </w:pPr>
      <w:r w:rsidRPr="0080160C">
        <w:t>Der nächste Eintrag am 2. Februar</w:t>
      </w:r>
      <w:r w:rsidR="00D6100B" w:rsidRPr="0080160C">
        <w:t xml:space="preserve"> spricht bereits die Beobachtung an, dass „Patienten unter ihrem Rock das Hakenkreuzabzeichen tragen“, und es schließt sich die Frage an: „Wie feige. Warum nicht offen und ehrlich?“ Gleich danach heißt es: „Zum ersten Mal ist in meiner Sprechstunde heute über Juden in abfälliger Weise gesprochen worden.“</w:t>
      </w:r>
    </w:p>
    <w:p w:rsidR="00D6100B" w:rsidRPr="0080160C" w:rsidRDefault="00D6100B" w:rsidP="00D87B79">
      <w:pPr>
        <w:spacing w:after="0"/>
        <w:jc w:val="both"/>
      </w:pPr>
      <w:r w:rsidRPr="0080160C">
        <w:tab/>
        <w:t xml:space="preserve">Damit ist das zentrale Thema des </w:t>
      </w:r>
      <w:r w:rsidRPr="0080160C">
        <w:rPr>
          <w:i/>
        </w:rPr>
        <w:t>Tagebuchs</w:t>
      </w:r>
      <w:r w:rsidRPr="0080160C">
        <w:t xml:space="preserve"> eingeführt: die </w:t>
      </w:r>
      <w:r w:rsidR="00FA67BF" w:rsidRPr="0080160C">
        <w:t>seitens der jüdischen Är</w:t>
      </w:r>
      <w:r w:rsidR="00FA67BF" w:rsidRPr="0080160C">
        <w:t>z</w:t>
      </w:r>
      <w:r w:rsidR="00FA67BF" w:rsidRPr="0080160C">
        <w:t xml:space="preserve">tin </w:t>
      </w:r>
      <w:r w:rsidR="002E30F4" w:rsidRPr="0080160C">
        <w:t xml:space="preserve">sich </w:t>
      </w:r>
      <w:r w:rsidR="00FA67BF" w:rsidRPr="0080160C">
        <w:t xml:space="preserve">auf nicht begreifliche Weise </w:t>
      </w:r>
      <w:r w:rsidR="002E30F4" w:rsidRPr="0080160C">
        <w:t xml:space="preserve">entwickelnde, </w:t>
      </w:r>
      <w:r w:rsidR="00E5622B" w:rsidRPr="0080160C">
        <w:t>konstant sich</w:t>
      </w:r>
      <w:r w:rsidR="002E30F4" w:rsidRPr="0080160C">
        <w:t xml:space="preserve"> verstärkende </w:t>
      </w:r>
      <w:r w:rsidRPr="0080160C">
        <w:t>emotionale Distanz</w:t>
      </w:r>
      <w:r w:rsidR="002E30F4" w:rsidRPr="0080160C">
        <w:t xml:space="preserve"> gegenüber</w:t>
      </w:r>
      <w:r w:rsidRPr="0080160C">
        <w:t xml:space="preserve"> ihr</w:t>
      </w:r>
      <w:r w:rsidR="002E30F4" w:rsidRPr="0080160C">
        <w:t xml:space="preserve">er </w:t>
      </w:r>
      <w:r w:rsidRPr="0080160C">
        <w:t>„arischen“ Um</w:t>
      </w:r>
      <w:r w:rsidR="002E30F4" w:rsidRPr="0080160C">
        <w:t xml:space="preserve">gebung. </w:t>
      </w:r>
      <w:r w:rsidRPr="0080160C">
        <w:t>Sie fragt sich, ob die Menschen „krank“ s</w:t>
      </w:r>
      <w:r w:rsidR="00E5622B" w:rsidRPr="0080160C">
        <w:t>e</w:t>
      </w:r>
      <w:r w:rsidR="00E5622B" w:rsidRPr="0080160C">
        <w:t>i</w:t>
      </w:r>
      <w:r w:rsidR="00E5622B" w:rsidRPr="0080160C">
        <w:t>en</w:t>
      </w:r>
      <w:r w:rsidRPr="0080160C">
        <w:t xml:space="preserve">. </w:t>
      </w:r>
      <w:r w:rsidR="00E5622B" w:rsidRPr="0080160C">
        <w:t xml:space="preserve">– </w:t>
      </w:r>
      <w:r w:rsidR="002E30F4" w:rsidRPr="0080160C">
        <w:t xml:space="preserve">Ausgangspunkt ist der 1. April, der „Judenboykotttag“. </w:t>
      </w:r>
      <w:r w:rsidR="005005B8" w:rsidRPr="0080160C">
        <w:t xml:space="preserve">Was hier geschieht, ist </w:t>
      </w:r>
      <w:r w:rsidR="00E5622B" w:rsidRPr="0080160C">
        <w:t xml:space="preserve">für Hertha </w:t>
      </w:r>
      <w:proofErr w:type="spellStart"/>
      <w:r w:rsidR="00E5622B" w:rsidRPr="0080160C">
        <w:t>Nathorff</w:t>
      </w:r>
      <w:proofErr w:type="spellEnd"/>
      <w:r w:rsidR="00E5622B" w:rsidRPr="0080160C">
        <w:t xml:space="preserve"> </w:t>
      </w:r>
      <w:r w:rsidR="005005B8" w:rsidRPr="0080160C">
        <w:t xml:space="preserve">intellektuell nicht mehr nachvollziehbar. </w:t>
      </w:r>
      <w:r w:rsidR="00FA67BF" w:rsidRPr="0080160C">
        <w:t>So berichtet</w:t>
      </w:r>
      <w:r w:rsidR="00E5622B" w:rsidRPr="0080160C">
        <w:t xml:space="preserve"> sie</w:t>
      </w:r>
      <w:r w:rsidR="00FA67BF" w:rsidRPr="0080160C">
        <w:t xml:space="preserve">, dass </w:t>
      </w:r>
      <w:r w:rsidRPr="0080160C">
        <w:t>ein „Bü</w:t>
      </w:r>
      <w:r w:rsidRPr="0080160C">
        <w:t>r</w:t>
      </w:r>
      <w:r w:rsidRPr="0080160C">
        <w:t>schlein“ zu ihr in die Wohnung</w:t>
      </w:r>
      <w:r w:rsidR="00FA67BF" w:rsidRPr="0080160C">
        <w:t xml:space="preserve"> </w:t>
      </w:r>
      <w:r w:rsidR="00E5622B" w:rsidRPr="0080160C">
        <w:t>ge</w:t>
      </w:r>
      <w:r w:rsidR="00FA67BF" w:rsidRPr="0080160C">
        <w:t>komm</w:t>
      </w:r>
      <w:r w:rsidR="00E5622B" w:rsidRPr="0080160C">
        <w:t>en sei</w:t>
      </w:r>
      <w:r w:rsidRPr="0080160C">
        <w:t xml:space="preserve">. Es </w:t>
      </w:r>
      <w:r w:rsidR="00E5622B" w:rsidRPr="0080160C">
        <w:t>habe ge</w:t>
      </w:r>
      <w:r w:rsidRPr="0080160C">
        <w:t>fragt: „Ist das ein jüdischer B</w:t>
      </w:r>
      <w:r w:rsidRPr="0080160C">
        <w:t>e</w:t>
      </w:r>
      <w:r w:rsidRPr="0080160C">
        <w:t xml:space="preserve">trieb?“, und </w:t>
      </w:r>
      <w:r w:rsidR="00E5622B" w:rsidRPr="0080160C">
        <w:t>sie</w:t>
      </w:r>
      <w:r w:rsidRPr="0080160C">
        <w:t xml:space="preserve"> antwortet: „Hier ist überhaupt kein Betrieb, sondern eine ärztliche Sprec</w:t>
      </w:r>
      <w:r w:rsidRPr="0080160C">
        <w:t>h</w:t>
      </w:r>
      <w:r w:rsidRPr="0080160C">
        <w:t xml:space="preserve">stunde“. </w:t>
      </w:r>
      <w:r w:rsidR="005005B8" w:rsidRPr="0080160C">
        <w:t>Die Absurdität steigert sich, als s</w:t>
      </w:r>
      <w:r w:rsidRPr="0080160C">
        <w:t>ie selber in ein kleines Seifengeschäft</w:t>
      </w:r>
      <w:r w:rsidR="005005B8" w:rsidRPr="0080160C">
        <w:t xml:space="preserve"> geht</w:t>
      </w:r>
      <w:r w:rsidRPr="0080160C">
        <w:t>, vor dem ein Posten steht</w:t>
      </w:r>
      <w:r w:rsidR="005005B8" w:rsidRPr="0080160C">
        <w:t>, der</w:t>
      </w:r>
      <w:r w:rsidRPr="0080160C">
        <w:t xml:space="preserve"> sie hindern will einzutreten. Sie schiebt ihn beiseite: „Für mein Geld ka</w:t>
      </w:r>
      <w:r w:rsidRPr="0080160C">
        <w:t>u</w:t>
      </w:r>
      <w:r w:rsidRPr="0080160C">
        <w:t xml:space="preserve">fe ich, wo ich will“. </w:t>
      </w:r>
      <w:r w:rsidR="00E5622B" w:rsidRPr="0080160C">
        <w:t xml:space="preserve">– Hertha </w:t>
      </w:r>
      <w:proofErr w:type="spellStart"/>
      <w:r w:rsidR="00E5622B" w:rsidRPr="0080160C">
        <w:t>Nathorf</w:t>
      </w:r>
      <w:r w:rsidR="003F5DEA" w:rsidRPr="0080160C">
        <w:t>f</w:t>
      </w:r>
      <w:proofErr w:type="spellEnd"/>
      <w:r w:rsidRPr="0080160C">
        <w:t xml:space="preserve"> schließt </w:t>
      </w:r>
      <w:r w:rsidR="00E5622B" w:rsidRPr="0080160C">
        <w:t>den Bericht mit er</w:t>
      </w:r>
      <w:r w:rsidRPr="0080160C">
        <w:t xml:space="preserve"> Frage a</w:t>
      </w:r>
      <w:r w:rsidR="00E5622B" w:rsidRPr="0080160C">
        <w:t>b</w:t>
      </w:r>
      <w:r w:rsidRPr="0080160C">
        <w:t>: „Warum machen es nicht alles so? Dann wäre der Boykott schnell erledigt gewesen.</w:t>
      </w:r>
      <w:r w:rsidR="00FA67BF" w:rsidRPr="0080160C">
        <w:t>“ Da</w:t>
      </w:r>
      <w:r w:rsidR="00E5622B" w:rsidRPr="0080160C">
        <w:t>ra</w:t>
      </w:r>
      <w:r w:rsidR="00FA67BF" w:rsidRPr="0080160C">
        <w:t xml:space="preserve">n </w:t>
      </w:r>
      <w:r w:rsidR="00E5622B" w:rsidRPr="0080160C">
        <w:t>schließt</w:t>
      </w:r>
      <w:r w:rsidR="00FA67BF" w:rsidRPr="0080160C">
        <w:t xml:space="preserve"> eine </w:t>
      </w:r>
      <w:r w:rsidR="00664F4D" w:rsidRPr="0080160C">
        <w:t>resi</w:t>
      </w:r>
      <w:r w:rsidR="00664F4D" w:rsidRPr="0080160C">
        <w:t>g</w:t>
      </w:r>
      <w:r w:rsidR="00664F4D" w:rsidRPr="0080160C">
        <w:t>native</w:t>
      </w:r>
      <w:r w:rsidR="00FA67BF" w:rsidRPr="0080160C">
        <w:t xml:space="preserve"> Bemerkung</w:t>
      </w:r>
      <w:r w:rsidR="00E5622B" w:rsidRPr="0080160C">
        <w:t xml:space="preserve"> an, in der sich nichts anderes als ihre eigene Ohnmacht äußert</w:t>
      </w:r>
      <w:r w:rsidR="00FA67BF" w:rsidRPr="0080160C">
        <w:t>:</w:t>
      </w:r>
      <w:r w:rsidRPr="0080160C">
        <w:t xml:space="preserve"> </w:t>
      </w:r>
      <w:r w:rsidR="00FA67BF" w:rsidRPr="0080160C">
        <w:t>„</w:t>
      </w:r>
      <w:r w:rsidR="00262CB0" w:rsidRPr="0080160C">
        <w:t>Aber die Menschen sind ein feiges Gesindel</w:t>
      </w:r>
      <w:r w:rsidR="001678FE" w:rsidRPr="0080160C">
        <w:t xml:space="preserve"> […]</w:t>
      </w:r>
      <w:r w:rsidR="00262CB0" w:rsidRPr="0080160C">
        <w:t>.“</w:t>
      </w:r>
      <w:r w:rsidR="00262CB0" w:rsidRPr="0080160C">
        <w:rPr>
          <w:rStyle w:val="Funotenzeichen"/>
        </w:rPr>
        <w:footnoteReference w:id="21"/>
      </w:r>
      <w:r w:rsidR="00FA67BF" w:rsidRPr="0080160C">
        <w:t xml:space="preserve"> </w:t>
      </w:r>
    </w:p>
    <w:p w:rsidR="00262CB0" w:rsidRPr="0080160C" w:rsidRDefault="00262CB0" w:rsidP="00D87B79">
      <w:pPr>
        <w:spacing w:after="0"/>
        <w:jc w:val="both"/>
      </w:pPr>
      <w:r w:rsidRPr="0080160C">
        <w:tab/>
        <w:t>Der nachfolgende Eintrag am 14. April thematisiert bereits einen komplexen Vorgang. Der Ausgangspunkt ist der Begriff der „Gleichschaltung“ – scheinbar aseptisch und neutral. In Wirklichkeit verdeckt der Begriff eine greifbare, alle</w:t>
      </w:r>
      <w:r w:rsidR="00E5622B" w:rsidRPr="0080160C">
        <w:t>n</w:t>
      </w:r>
      <w:r w:rsidRPr="0080160C">
        <w:t xml:space="preserve"> sichtbare Realität:</w:t>
      </w:r>
    </w:p>
    <w:p w:rsidR="00262CB0" w:rsidRPr="0080160C" w:rsidRDefault="00262CB0" w:rsidP="00D87B79">
      <w:pPr>
        <w:spacing w:after="0"/>
        <w:ind w:left="567"/>
        <w:jc w:val="both"/>
      </w:pPr>
      <w:r w:rsidRPr="0080160C">
        <w:t>„‚Sie schalten gleich‘. Nein, sie wüten. Aus allen Berufen, aus allen Stellen schalten sie die Juden aus „Zum Schutze des deutschen Volks“. Was haben wir diesem Volk denn bis heute getan? In den Krankenhäusern ist es furchtbar. Verdiente Chirurgen haben sie mitten aus der Operation herausgeholt und ihnen das Wiederbetreten des Krankenhaus</w:t>
      </w:r>
      <w:r w:rsidR="00FA67BF" w:rsidRPr="0080160C">
        <w:t>es</w:t>
      </w:r>
      <w:r w:rsidRPr="0080160C">
        <w:t xml:space="preserve"> einfach verboten. Andere haben sie auf W</w:t>
      </w:r>
      <w:r w:rsidR="00664F4D" w:rsidRPr="0080160C">
        <w:t>a</w:t>
      </w:r>
      <w:r w:rsidRPr="0080160C">
        <w:t xml:space="preserve">gen geladen und unter dem </w:t>
      </w:r>
      <w:proofErr w:type="spellStart"/>
      <w:r w:rsidRPr="0080160C">
        <w:t>Gejohl</w:t>
      </w:r>
      <w:proofErr w:type="spellEnd"/>
      <w:r w:rsidRPr="0080160C">
        <w:t xml:space="preserve"> der Me</w:t>
      </w:r>
      <w:r w:rsidRPr="0080160C">
        <w:t>n</w:t>
      </w:r>
      <w:r w:rsidRPr="0080160C">
        <w:t>ge durch die Stadt geführt. Verschiedene Bekannte sind Hals über Kopf auf und davon ins Ausland, weil sie politisch verdächtig waren. Mein altes Krankenhaus hat seine tüchtigsten und besten Ärzte verloren […]. Die Hetzreden des Herrn Goebbels überste</w:t>
      </w:r>
      <w:r w:rsidRPr="0080160C">
        <w:t>i</w:t>
      </w:r>
      <w:r w:rsidRPr="0080160C">
        <w:t>gen alles, was an Hetze und Verlogenheit bisher da war, und das Volk hört es an und schweigt – und vor alle</w:t>
      </w:r>
      <w:r w:rsidR="00664F4D" w:rsidRPr="0080160C">
        <w:t>m</w:t>
      </w:r>
      <w:r w:rsidRPr="0080160C">
        <w:t>, die führenden Ärzte, die prominenten Professoren, was tun sie für ihre verratenen Kollegen?“</w:t>
      </w:r>
      <w:r w:rsidRPr="0080160C">
        <w:rPr>
          <w:rStyle w:val="Funotenzeichen"/>
        </w:rPr>
        <w:footnoteReference w:id="22"/>
      </w:r>
      <w:r w:rsidRPr="0080160C">
        <w:t xml:space="preserve"> </w:t>
      </w:r>
    </w:p>
    <w:p w:rsidR="00901861" w:rsidRPr="0080160C" w:rsidRDefault="00FA67BF" w:rsidP="00D87B79">
      <w:pPr>
        <w:spacing w:after="0"/>
        <w:jc w:val="both"/>
      </w:pPr>
      <w:r w:rsidRPr="0080160C">
        <w:t>Es fehlt den Kollegen, den Nachbarn an Zivilcourage. Schlimmer noch: Es fehlt ihnen das Gespür, dass hier Grundregeln des zwischenmenschlichen Verkehrs: Regel</w:t>
      </w:r>
      <w:r w:rsidR="00E5622B" w:rsidRPr="0080160C">
        <w:t>n</w:t>
      </w:r>
      <w:r w:rsidRPr="0080160C">
        <w:t xml:space="preserve"> der Verlässlic</w:t>
      </w:r>
      <w:r w:rsidRPr="0080160C">
        <w:t>h</w:t>
      </w:r>
      <w:r w:rsidRPr="0080160C">
        <w:t>keit, der Aufrichtigkeit, des wechselseitigen Respekts</w:t>
      </w:r>
      <w:r w:rsidR="00E5622B" w:rsidRPr="0080160C">
        <w:t>,</w:t>
      </w:r>
      <w:r w:rsidRPr="0080160C">
        <w:t xml:space="preserve"> außer Kraft gesetzt sind. </w:t>
      </w:r>
      <w:r w:rsidR="00441643" w:rsidRPr="0080160C">
        <w:t xml:space="preserve">Nur dann, </w:t>
      </w:r>
      <w:r w:rsidR="00441643" w:rsidRPr="0080160C">
        <w:lastRenderedPageBreak/>
        <w:t xml:space="preserve">wenn sie vorhanden wären, hätte Zivilcourage noch einen Sinn. So aber ist für Hertha </w:t>
      </w:r>
      <w:proofErr w:type="spellStart"/>
      <w:r w:rsidR="00441643" w:rsidRPr="0080160C">
        <w:t>N</w:t>
      </w:r>
      <w:r w:rsidR="00441643" w:rsidRPr="0080160C">
        <w:t>a</w:t>
      </w:r>
      <w:r w:rsidR="00441643" w:rsidRPr="0080160C">
        <w:t>thorff</w:t>
      </w:r>
      <w:proofErr w:type="spellEnd"/>
      <w:r w:rsidR="00441643" w:rsidRPr="0080160C">
        <w:t xml:space="preserve"> die Beziehung zu ihrer „arischen“ Umgebung einseitig geworden. Sie hat – ein Begriff, den Jean </w:t>
      </w:r>
      <w:proofErr w:type="spellStart"/>
      <w:r w:rsidR="00441643" w:rsidRPr="0080160C">
        <w:t>Améry</w:t>
      </w:r>
      <w:proofErr w:type="spellEnd"/>
      <w:r w:rsidR="00441643" w:rsidRPr="0080160C">
        <w:t xml:space="preserve"> in Bezug auf die Auswirkungen der Folter auf den Gefolterten geprägt hat – das „Weltvertrauen“</w:t>
      </w:r>
      <w:r w:rsidR="00441643" w:rsidRPr="0080160C">
        <w:rPr>
          <w:rStyle w:val="Funotenzeichen"/>
        </w:rPr>
        <w:footnoteReference w:id="23"/>
      </w:r>
      <w:r w:rsidR="00441643" w:rsidRPr="0080160C">
        <w:t xml:space="preserve"> verloren.</w:t>
      </w:r>
    </w:p>
    <w:p w:rsidR="00441643" w:rsidRPr="0080160C" w:rsidRDefault="00441643" w:rsidP="00D87B79">
      <w:pPr>
        <w:spacing w:after="0"/>
        <w:jc w:val="both"/>
      </w:pPr>
      <w:r w:rsidRPr="0080160C">
        <w:tab/>
        <w:t xml:space="preserve">Hertha </w:t>
      </w:r>
      <w:proofErr w:type="spellStart"/>
      <w:r w:rsidRPr="0080160C">
        <w:t>Nathorff</w:t>
      </w:r>
      <w:proofErr w:type="spellEnd"/>
      <w:r w:rsidRPr="0080160C">
        <w:t xml:space="preserve"> ist großgewachsen und blond, sie tritt selbstbewusst und mit klarem Urteil auf – eine Haltung, die zu </w:t>
      </w:r>
      <w:proofErr w:type="spellStart"/>
      <w:r w:rsidRPr="0080160C">
        <w:t>decouvrierenden</w:t>
      </w:r>
      <w:proofErr w:type="spellEnd"/>
      <w:r w:rsidRPr="0080160C">
        <w:t xml:space="preserve"> Missdeutungen Anlass gibt, so bei einer Versammlung des Bundes deutscher Ärztinnen am 16. April 1933:</w:t>
      </w:r>
    </w:p>
    <w:p w:rsidR="00441643" w:rsidRPr="0080160C" w:rsidRDefault="00441643" w:rsidP="00D87B79">
      <w:pPr>
        <w:spacing w:after="0"/>
        <w:ind w:left="567"/>
        <w:jc w:val="both"/>
      </w:pPr>
      <w:r w:rsidRPr="0080160C">
        <w:t xml:space="preserve">„Versammlung des Bundes deutscher Ärztinnen. Wie regelmäßig ging ich auch heute hin, trafen sich doch hier stets die angesehensten und bekanntesten Kolleginnen Berlins. </w:t>
      </w:r>
      <w:r w:rsidR="00262063" w:rsidRPr="0080160C">
        <w:t>‚Komische Stimmung heute‘, dachte ich und so viele fremde Gesichter. Eine mir unb</w:t>
      </w:r>
      <w:r w:rsidR="00262063" w:rsidRPr="0080160C">
        <w:t>e</w:t>
      </w:r>
      <w:r w:rsidR="00262063" w:rsidRPr="0080160C">
        <w:t>kannte Kollegin sagte zu mir: ‚Sie gehören doch wohl auch zu uns</w:t>
      </w:r>
      <w:proofErr w:type="gramStart"/>
      <w:r w:rsidR="00262063" w:rsidRPr="0080160C">
        <w:t>?‘</w:t>
      </w:r>
      <w:proofErr w:type="gramEnd"/>
      <w:r w:rsidR="00262063" w:rsidRPr="0080160C">
        <w:t xml:space="preserve"> und zeigt mir ihr Hakenkreuz an ihrem Mantelkragen. Ehe ich antworten kann, steht sie auf und holt e</w:t>
      </w:r>
      <w:r w:rsidR="00262063" w:rsidRPr="0080160C">
        <w:t>i</w:t>
      </w:r>
      <w:r w:rsidR="00262063" w:rsidRPr="0080160C">
        <w:t>nen Herrn in unsere Versammlung, der sagt, er habe die Gleichschaltung des Bundes namens der Regierung zu verlangen. ‚Die Gleichschaltung‘. Eine andere Kollegin – ich kenne sie, sie war meine Vorgängerin im Roten Kreuz und damals ziemlich linksst</w:t>
      </w:r>
      <w:r w:rsidR="00262063" w:rsidRPr="0080160C">
        <w:t>e</w:t>
      </w:r>
      <w:r w:rsidR="00262063" w:rsidRPr="0080160C">
        <w:t>hend – wegen Untüchtigkeit und anderer nicht sehr feiner menschlicher Qualitäten war sie seiner Zeit entlassen worden – sie steht auf und sagt, ‚nun bitte ich also die deu</w:t>
      </w:r>
      <w:r w:rsidR="00262063" w:rsidRPr="0080160C">
        <w:t>t</w:t>
      </w:r>
      <w:r w:rsidR="00262063" w:rsidRPr="0080160C">
        <w:t>schen Kolleginnen zu einer Besprechung ins Nebenzimmer‘. Kollegin S., eine gute K</w:t>
      </w:r>
      <w:r w:rsidR="00262063" w:rsidRPr="0080160C">
        <w:t>a</w:t>
      </w:r>
      <w:r w:rsidR="00262063" w:rsidRPr="0080160C">
        <w:t>tholikin, steht auf und fragt: ‚Was heißt das, die deutschen Kolleginnen</w:t>
      </w:r>
      <w:proofErr w:type="gramStart"/>
      <w:r w:rsidR="00262063" w:rsidRPr="0080160C">
        <w:t>?‘</w:t>
      </w:r>
      <w:proofErr w:type="gramEnd"/>
      <w:r w:rsidR="00262063" w:rsidRPr="0080160C">
        <w:t xml:space="preserve"> ‚Natürlich a</w:t>
      </w:r>
      <w:r w:rsidR="00262063" w:rsidRPr="0080160C">
        <w:t>l</w:t>
      </w:r>
      <w:r w:rsidR="00262063" w:rsidRPr="0080160C">
        <w:t xml:space="preserve">le, die nicht Jüdinnen sind‘, lautet die Antwort. So war es gesagt. Schweigend stehen wir jüdischen und halbjüdischen Ärztinnen auf und mit uns einige ‚deutsche‘ Ärztinnen. Schweigend verlassen wir den Raum, </w:t>
      </w:r>
      <w:proofErr w:type="spellStart"/>
      <w:r w:rsidR="00262063" w:rsidRPr="0080160C">
        <w:t>blaß</w:t>
      </w:r>
      <w:proofErr w:type="spellEnd"/>
      <w:r w:rsidR="00262063" w:rsidRPr="0080160C">
        <w:t>, bis ins Innerste empört. Wir gingen dann zu Kollegin Erna B., zu besprechen, was wir tun sollen. ‚Geschlossen unseren Austritt aus dem Bund erklären‘, sagen einige. Ich bin dagegen. Die Ehre, uns herauszuwerfen, will ich ihnen gerne gönnen, aber ich will wenigstens meinen Anspruch auf Mitgliedschaft nicht freiwillig preisgeben. Nun will ich sehen, was weiter kommt. […]“</w:t>
      </w:r>
      <w:r w:rsidR="00262063" w:rsidRPr="0080160C">
        <w:rPr>
          <w:rStyle w:val="Funotenzeichen"/>
        </w:rPr>
        <w:footnoteReference w:id="24"/>
      </w:r>
    </w:p>
    <w:p w:rsidR="000802CC" w:rsidRPr="0080160C" w:rsidRDefault="00664F4D" w:rsidP="00D87B79">
      <w:pPr>
        <w:spacing w:after="0"/>
        <w:jc w:val="both"/>
      </w:pPr>
      <w:r w:rsidRPr="0080160C">
        <w:t>H</w:t>
      </w:r>
      <w:r w:rsidR="00A5651B" w:rsidRPr="0080160C">
        <w:t xml:space="preserve">ertha </w:t>
      </w:r>
      <w:proofErr w:type="spellStart"/>
      <w:r w:rsidR="00A5651B" w:rsidRPr="0080160C">
        <w:t>Nathorffs</w:t>
      </w:r>
      <w:proofErr w:type="spellEnd"/>
      <w:r w:rsidR="00A5651B" w:rsidRPr="0080160C">
        <w:t xml:space="preserve"> </w:t>
      </w:r>
      <w:r w:rsidR="00A5651B" w:rsidRPr="0080160C">
        <w:rPr>
          <w:i/>
        </w:rPr>
        <w:t>Tagebuch</w:t>
      </w:r>
      <w:r w:rsidR="00A5651B" w:rsidRPr="0080160C">
        <w:t xml:space="preserve"> ist das Psychogramm einer mentalen Deformation, die ein Volk erfasst</w:t>
      </w:r>
      <w:r w:rsidRPr="0080160C">
        <w:t xml:space="preserve"> hat</w:t>
      </w:r>
      <w:r w:rsidR="00A5651B" w:rsidRPr="0080160C">
        <w:t>, dargestellt an einem Ausschnitt des Bürgertums</w:t>
      </w:r>
      <w:r w:rsidRPr="0080160C">
        <w:t>, des ärztlichen Milieus der Metr</w:t>
      </w:r>
      <w:r w:rsidRPr="0080160C">
        <w:t>o</w:t>
      </w:r>
      <w:r w:rsidRPr="0080160C">
        <w:t>pole Berlin</w:t>
      </w:r>
      <w:r w:rsidR="00A5651B" w:rsidRPr="0080160C">
        <w:t xml:space="preserve">. Am Ende steht wie bei Sebastian Haffner die Erschütterung darüber, was man erlebt hat. </w:t>
      </w:r>
    </w:p>
    <w:p w:rsidR="00441643" w:rsidRDefault="00441643" w:rsidP="00D87B79">
      <w:pPr>
        <w:spacing w:after="0"/>
        <w:jc w:val="both"/>
        <w:rPr>
          <w:i/>
        </w:rPr>
      </w:pPr>
    </w:p>
    <w:p w:rsidR="000C4DA3" w:rsidRPr="000C4DA3" w:rsidRDefault="000C4DA3" w:rsidP="00D87B79">
      <w:pPr>
        <w:spacing w:after="0"/>
        <w:jc w:val="both"/>
        <w:rPr>
          <w:b/>
          <w:i/>
        </w:rPr>
      </w:pPr>
      <w:r>
        <w:rPr>
          <w:b/>
        </w:rPr>
        <w:t xml:space="preserve">Karl Löwith: </w:t>
      </w:r>
      <w:r>
        <w:rPr>
          <w:b/>
          <w:i/>
        </w:rPr>
        <w:t>Mein Leben in Deutschland vor und nach 1933</w:t>
      </w:r>
    </w:p>
    <w:p w:rsidR="00302FA4" w:rsidRPr="0080160C" w:rsidRDefault="00302FA4" w:rsidP="00D87B79">
      <w:pPr>
        <w:spacing w:after="0"/>
        <w:jc w:val="both"/>
      </w:pPr>
      <w:r w:rsidRPr="0080160C">
        <w:t>Der vermutlich prominenteste Teilnehmer am Harvard-Wettbewerb war Karl Löwith.</w:t>
      </w:r>
      <w:r w:rsidRPr="0080160C">
        <w:rPr>
          <w:rStyle w:val="Funotenzeichen"/>
        </w:rPr>
        <w:footnoteReference w:id="25"/>
      </w:r>
      <w:r w:rsidRPr="0080160C">
        <w:t xml:space="preserve"> Als er den Bericht verfasste, war er Lehrbeauftragter an der Kaiserlichen Universität von Sendai in Japan. – Löwith war Weltkriegsteilnehmer gewesen und schwer verletzt worden, hatte sich seiner Entlassung aus der Gefangenschaft der „Münchener freien Studentenschaft“ ang</w:t>
      </w:r>
      <w:r w:rsidRPr="0080160C">
        <w:t>e</w:t>
      </w:r>
      <w:r w:rsidRPr="0080160C">
        <w:t>schlossen, wo Max Weber seinen berühmten Vortrag „Wissenschaft als Beruf“ hielt, bewegte sich zeitweilig im engeren Umfeld des George-Kreises, hatte dann in Freiburg bei Edmund Husserl und Martin Heidegger studiert und 1923 in München bei Moritz Geiger promoviert. Löwith folgte nach der Promotion Heidegger nach Marburg, wo er zum engen Kreis der He</w:t>
      </w:r>
      <w:r w:rsidRPr="0080160C">
        <w:t>i</w:t>
      </w:r>
      <w:r w:rsidRPr="0080160C">
        <w:lastRenderedPageBreak/>
        <w:t xml:space="preserve">degger-Schüler gehörte, habilitierte sich 1928 bei Heidegger, lehrte bis 1934 als Privatdozent in Marburg und ging dann als Rockefeller-Stipendiat nach Italien. Von 1936 bis 1941 lehrte er in Sendai. 1941 wurde er nach Hartford/Connecticut, 1949 an die New School </w:t>
      </w:r>
      <w:proofErr w:type="spellStart"/>
      <w:r w:rsidRPr="0080160C">
        <w:t>of</w:t>
      </w:r>
      <w:proofErr w:type="spellEnd"/>
      <w:r w:rsidRPr="0080160C">
        <w:t xml:space="preserve"> </w:t>
      </w:r>
      <w:proofErr w:type="spellStart"/>
      <w:r w:rsidRPr="0080160C">
        <w:t>Social</w:t>
      </w:r>
      <w:proofErr w:type="spellEnd"/>
      <w:r w:rsidRPr="0080160C">
        <w:t xml:space="preserve"> Res</w:t>
      </w:r>
      <w:r w:rsidRPr="0080160C">
        <w:t>e</w:t>
      </w:r>
      <w:r w:rsidRPr="0080160C">
        <w:t>arch in New York berufen. 1952 kehrte er nach Deutschland, an die Ruprecht-Karls-Universität Heidelberg, zurück und lehrte dort bis 1964. Er starb 1973 in Heidelberg.</w:t>
      </w:r>
    </w:p>
    <w:p w:rsidR="00302FA4" w:rsidRPr="0080160C" w:rsidRDefault="00302FA4" w:rsidP="00D87B79">
      <w:pPr>
        <w:spacing w:after="0"/>
        <w:jc w:val="both"/>
      </w:pPr>
    </w:p>
    <w:p w:rsidR="00302FA4" w:rsidRPr="0080160C" w:rsidRDefault="00302FA4" w:rsidP="00D87B79">
      <w:pPr>
        <w:spacing w:after="0"/>
        <w:jc w:val="both"/>
      </w:pPr>
      <w:r w:rsidRPr="0080160C">
        <w:tab/>
        <w:t>Löwith schildert eindrucksvoll, durchsetzt von Sarkasmen, in welchen Formen man an der Universität Marburg, an der Löwith lehrte, auf Hitlers Ernennung zum Reichskanzler re</w:t>
      </w:r>
      <w:r w:rsidRPr="0080160C">
        <w:t>a</w:t>
      </w:r>
      <w:r w:rsidRPr="0080160C">
        <w:t>gierte:</w:t>
      </w:r>
    </w:p>
    <w:p w:rsidR="00302FA4" w:rsidRPr="0080160C" w:rsidRDefault="00302FA4" w:rsidP="00D87B79">
      <w:pPr>
        <w:spacing w:after="0"/>
        <w:ind w:left="567"/>
        <w:jc w:val="both"/>
      </w:pPr>
      <w:r w:rsidRPr="0080160C">
        <w:t>„Die deutsche Erhebung äußerte sich in Marburg wie überall zunächst durch die Entla</w:t>
      </w:r>
      <w:r w:rsidRPr="0080160C">
        <w:t>s</w:t>
      </w:r>
      <w:r w:rsidRPr="0080160C">
        <w:t>sungen und die Judenhetze. Der jüdische Assistent eines medizinischen Instituts wurde von S.A.-Männern gezwungen, vor ihnen her durch die Stadt zu marschieren mit einer Tafel, auf der geschrieben stand: ‚Ich habe ein deutsches Mädchen geschändet</w:t>
      </w:r>
      <w:proofErr w:type="gramStart"/>
      <w:r w:rsidRPr="0080160C">
        <w:t>.‘</w:t>
      </w:r>
      <w:proofErr w:type="gramEnd"/>
      <w:r w:rsidRPr="0080160C">
        <w:t xml:space="preserve"> Die Passanten haben sich bei diesem Schauspiel halb neugierig und halb beschämt auf die andere Straßenseite verdrückt – ich habe dies nicht selber gesehen, aber eine Photogr</w:t>
      </w:r>
      <w:r w:rsidRPr="0080160C">
        <w:t>a</w:t>
      </w:r>
      <w:r w:rsidRPr="0080160C">
        <w:t>phie davon gezeigt bekommen.“</w:t>
      </w:r>
    </w:p>
    <w:p w:rsidR="00302FA4" w:rsidRPr="0080160C" w:rsidRDefault="00302FA4" w:rsidP="00D87B79">
      <w:pPr>
        <w:spacing w:after="0"/>
        <w:jc w:val="both"/>
      </w:pPr>
      <w:r w:rsidRPr="0080160C">
        <w:t>Er kommentiert den Vorgang mit den Worten:</w:t>
      </w:r>
    </w:p>
    <w:p w:rsidR="00302FA4" w:rsidRPr="0080160C" w:rsidRDefault="00302FA4" w:rsidP="00D87B79">
      <w:pPr>
        <w:spacing w:after="0"/>
        <w:ind w:left="567"/>
        <w:jc w:val="both"/>
      </w:pPr>
      <w:r w:rsidRPr="0080160C">
        <w:t>„Das war die deutsche Zivilcourage, für die der Deutsche kein Wort hat, weil ihm die Sache fehlt.“</w:t>
      </w:r>
      <w:r w:rsidRPr="0080160C">
        <w:rPr>
          <w:rStyle w:val="Funotenzeichen"/>
        </w:rPr>
        <w:footnoteReference w:id="26"/>
      </w:r>
      <w:r w:rsidRPr="0080160C">
        <w:t xml:space="preserve"> </w:t>
      </w:r>
    </w:p>
    <w:p w:rsidR="00302FA4" w:rsidRPr="0080160C" w:rsidRDefault="00302FA4" w:rsidP="00D87B79">
      <w:pPr>
        <w:spacing w:after="0"/>
        <w:jc w:val="both"/>
      </w:pPr>
      <w:r w:rsidRPr="0080160C">
        <w:t>Löwith selber, Protestant, jedoch „Halbjude“, war anfangs von der Entlassung bedroht. Ei</w:t>
      </w:r>
      <w:r w:rsidRPr="0080160C">
        <w:t>n</w:t>
      </w:r>
      <w:r w:rsidRPr="0080160C">
        <w:t>zelne Kollegen reagierten auf bezeichnender Art und Weise:</w:t>
      </w:r>
    </w:p>
    <w:p w:rsidR="00302FA4" w:rsidRPr="0080160C" w:rsidRDefault="00302FA4" w:rsidP="00D87B79">
      <w:pPr>
        <w:spacing w:after="0"/>
        <w:ind w:left="567"/>
        <w:jc w:val="both"/>
      </w:pPr>
      <w:r w:rsidRPr="0080160C">
        <w:t xml:space="preserve">„Ein biederer Theologe war so naiv, </w:t>
      </w:r>
      <w:proofErr w:type="spellStart"/>
      <w:r w:rsidRPr="0080160C">
        <w:t>daß</w:t>
      </w:r>
      <w:proofErr w:type="spellEnd"/>
      <w:r w:rsidRPr="0080160C">
        <w:t xml:space="preserve"> er allen Ernstes im Unklaren war, ob ich oder meine Frau der volksfremde Teil sei.“</w:t>
      </w:r>
    </w:p>
    <w:p w:rsidR="00302FA4" w:rsidRPr="0080160C" w:rsidRDefault="00302FA4" w:rsidP="00D87B79">
      <w:pPr>
        <w:spacing w:after="0"/>
        <w:jc w:val="both"/>
      </w:pPr>
      <w:r w:rsidRPr="0080160C">
        <w:t>Auch hier folgt ein Nachsatz:</w:t>
      </w:r>
    </w:p>
    <w:p w:rsidR="00302FA4" w:rsidRPr="0080160C" w:rsidRDefault="00302FA4" w:rsidP="00D87B79">
      <w:pPr>
        <w:spacing w:after="0"/>
        <w:ind w:left="567"/>
        <w:jc w:val="both"/>
      </w:pPr>
      <w:r w:rsidRPr="0080160C">
        <w:t>„Er war bis 1933 Herausgeber einer tiefroten, christlich-marxistischen Zeitschrift gew</w:t>
      </w:r>
      <w:r w:rsidRPr="0080160C">
        <w:t>e</w:t>
      </w:r>
      <w:r w:rsidRPr="0080160C">
        <w:t xml:space="preserve">sen und befürchtete, deshalb entlassen zu werden. 1935 hatte er aber den </w:t>
      </w:r>
      <w:proofErr w:type="spellStart"/>
      <w:r w:rsidRPr="0080160C">
        <w:t>Anschluß</w:t>
      </w:r>
      <w:proofErr w:type="spellEnd"/>
      <w:r w:rsidRPr="0080160C">
        <w:t xml:space="preserve"> g</w:t>
      </w:r>
      <w:r w:rsidRPr="0080160C">
        <w:t>e</w:t>
      </w:r>
      <w:r w:rsidRPr="0080160C">
        <w:t>funden, indem er für sich den Nationals</w:t>
      </w:r>
      <w:r w:rsidRPr="0080160C">
        <w:rPr>
          <w:i/>
        </w:rPr>
        <w:t>ozialismus</w:t>
      </w:r>
      <w:r w:rsidRPr="0080160C">
        <w:t xml:space="preserve"> und nach außen den </w:t>
      </w:r>
      <w:r w:rsidRPr="0080160C">
        <w:rPr>
          <w:i/>
        </w:rPr>
        <w:t>National</w:t>
      </w:r>
      <w:r w:rsidRPr="0080160C">
        <w:t>sozi</w:t>
      </w:r>
      <w:r w:rsidRPr="0080160C">
        <w:t>a</w:t>
      </w:r>
      <w:r w:rsidRPr="0080160C">
        <w:t>lismus betonte.“</w:t>
      </w:r>
      <w:r w:rsidRPr="0080160C">
        <w:rPr>
          <w:rStyle w:val="Funotenzeichen"/>
        </w:rPr>
        <w:footnoteReference w:id="27"/>
      </w:r>
      <w:r w:rsidRPr="0080160C">
        <w:t xml:space="preserve"> </w:t>
      </w:r>
    </w:p>
    <w:p w:rsidR="00302FA4" w:rsidRPr="0080160C" w:rsidRDefault="00302FA4" w:rsidP="00D87B79">
      <w:pPr>
        <w:spacing w:after="0"/>
        <w:jc w:val="both"/>
      </w:pPr>
      <w:r w:rsidRPr="0080160C">
        <w:t>Ein Protest von Professoren der verschiedensten Fakultäten gegen die Entlassung ihrer Koll</w:t>
      </w:r>
      <w:r w:rsidRPr="0080160C">
        <w:t>e</w:t>
      </w:r>
      <w:r w:rsidRPr="0080160C">
        <w:t>gen kam, wie Löwith formuliert, „nie an die Öffentlichkeit“. – Als von der Deutschen Stude</w:t>
      </w:r>
      <w:r w:rsidRPr="0080160C">
        <w:t>n</w:t>
      </w:r>
      <w:r w:rsidRPr="0080160C">
        <w:t>tenschaft die „12 Thesen wider den undeutschen Geist“ verbreitet werden,</w:t>
      </w:r>
      <w:r w:rsidRPr="0080160C">
        <w:rPr>
          <w:rStyle w:val="Funotenzeichen"/>
        </w:rPr>
        <w:footnoteReference w:id="28"/>
      </w:r>
      <w:r w:rsidRPr="0080160C">
        <w:t xml:space="preserve"> erfolgt ebenfalls keine Reaktion:</w:t>
      </w:r>
    </w:p>
    <w:p w:rsidR="00302FA4" w:rsidRPr="0080160C" w:rsidRDefault="00302FA4" w:rsidP="00D87B79">
      <w:pPr>
        <w:spacing w:after="0"/>
        <w:ind w:left="567"/>
        <w:jc w:val="both"/>
      </w:pPr>
      <w:r w:rsidRPr="0080160C">
        <w:t>„Dieser Aufruf war auch in der Marburger Universität, in der außer mir noch vier jüd</w:t>
      </w:r>
      <w:r w:rsidRPr="0080160C">
        <w:t>i</w:t>
      </w:r>
      <w:r w:rsidRPr="0080160C">
        <w:t>sche Dozenten lehrten, angebracht worden. Keiner der arischen Kollegen hatte den Ei</w:t>
      </w:r>
      <w:r w:rsidRPr="0080160C">
        <w:t>n</w:t>
      </w:r>
      <w:r w:rsidRPr="0080160C">
        <w:t xml:space="preserve">fall und Mut zu verlangen, </w:t>
      </w:r>
      <w:proofErr w:type="spellStart"/>
      <w:r w:rsidRPr="0080160C">
        <w:t>daß</w:t>
      </w:r>
      <w:proofErr w:type="spellEnd"/>
      <w:r w:rsidRPr="0080160C">
        <w:t xml:space="preserve"> er entfernt würde. Der Aufruf ging sie ja selbst nichts an. Als ich K. bat, dem </w:t>
      </w:r>
      <w:proofErr w:type="spellStart"/>
      <w:r w:rsidRPr="0080160C">
        <w:t>Dozentenschaftsführer</w:t>
      </w:r>
      <w:proofErr w:type="spellEnd"/>
      <w:r w:rsidRPr="0080160C">
        <w:t xml:space="preserve"> zu sagen, er möge für die Entfernung des Aufrufs sorgen, erhielt ich die Antwort: das lasse man besser bleiben, denn es könne in der gegenwärtigen Lage die Unruhe der  Studenten noch steigern. Man wartete allg</w:t>
      </w:r>
      <w:r w:rsidRPr="0080160C">
        <w:t>e</w:t>
      </w:r>
      <w:r w:rsidRPr="0080160C">
        <w:t>mein ab, wie sich die Dinge entwickeln würden […].“</w:t>
      </w:r>
      <w:r w:rsidRPr="0080160C">
        <w:rPr>
          <w:rStyle w:val="Funotenzeichen"/>
        </w:rPr>
        <w:footnoteReference w:id="29"/>
      </w:r>
    </w:p>
    <w:p w:rsidR="00302FA4" w:rsidRPr="0080160C" w:rsidRDefault="00302FA4" w:rsidP="00D87B79">
      <w:pPr>
        <w:spacing w:after="0"/>
        <w:jc w:val="both"/>
      </w:pPr>
      <w:r w:rsidRPr="0080160C">
        <w:lastRenderedPageBreak/>
        <w:t>Bei einer Dozentenversammlung werden die Anwesenden vom „Führer“ der Studentenschaft aufgefordert, dem nationalsozialistischen Lehrerbund beizutreten. Sie tun das widerspruch</w:t>
      </w:r>
      <w:r w:rsidRPr="0080160C">
        <w:t>s</w:t>
      </w:r>
      <w:r w:rsidRPr="0080160C">
        <w:t>los, „bis ein schüchterner Theologe die Hand erhob und sich die Frage erlaubte, ob man nicht vorher die Satzungen dieses Lehrerbundes einsehen könne, um zu wissen, was man denn u</w:t>
      </w:r>
      <w:r w:rsidRPr="0080160C">
        <w:t>n</w:t>
      </w:r>
      <w:r w:rsidRPr="0080160C">
        <w:t>terschreibe“. Diese Satzung liegt jedoch nicht vor. Erst daraufhin zögern einige mit ihrer U</w:t>
      </w:r>
      <w:r w:rsidRPr="0080160C">
        <w:t>n</w:t>
      </w:r>
      <w:r w:rsidRPr="0080160C">
        <w:t>terschrift. – Auch daran schließt sich ein sarkastischer Kommentar an:</w:t>
      </w:r>
    </w:p>
    <w:p w:rsidR="00302FA4" w:rsidRPr="0080160C" w:rsidRDefault="00302FA4" w:rsidP="00D87B79">
      <w:pPr>
        <w:spacing w:after="0"/>
        <w:ind w:left="567"/>
        <w:jc w:val="both"/>
      </w:pPr>
      <w:r w:rsidRPr="0080160C">
        <w:t>„Und das waren dieselben Menschen, die einen Monat zuvor um jeden Quark auf stu</w:t>
      </w:r>
      <w:r w:rsidRPr="0080160C">
        <w:t>n</w:t>
      </w:r>
      <w:r w:rsidRPr="0080160C">
        <w:t xml:space="preserve">denlangen Diskussionen bestanden, ehe ein </w:t>
      </w:r>
      <w:proofErr w:type="spellStart"/>
      <w:r w:rsidRPr="0080160C">
        <w:t>Beschluß</w:t>
      </w:r>
      <w:proofErr w:type="spellEnd"/>
      <w:r w:rsidRPr="0080160C">
        <w:t xml:space="preserve"> </w:t>
      </w:r>
      <w:proofErr w:type="spellStart"/>
      <w:r w:rsidRPr="0080160C">
        <w:t>gefaßt</w:t>
      </w:r>
      <w:proofErr w:type="spellEnd"/>
      <w:r w:rsidRPr="0080160C">
        <w:t xml:space="preserve"> werden konnte.“</w:t>
      </w:r>
      <w:r w:rsidRPr="0080160C">
        <w:rPr>
          <w:rStyle w:val="Funotenzeichen"/>
        </w:rPr>
        <w:footnoteReference w:id="30"/>
      </w:r>
    </w:p>
    <w:p w:rsidR="00302FA4" w:rsidRPr="0080160C" w:rsidRDefault="00302FA4" w:rsidP="00D87B79">
      <w:pPr>
        <w:spacing w:after="0"/>
        <w:jc w:val="both"/>
      </w:pPr>
      <w:r w:rsidRPr="0080160C">
        <w:t>Über einen Besuch in Freiburg bei Edmund Husserl schreibt Löwith:</w:t>
      </w:r>
    </w:p>
    <w:p w:rsidR="00302FA4" w:rsidRPr="0080160C" w:rsidRDefault="00302FA4" w:rsidP="00D87B79">
      <w:pPr>
        <w:spacing w:after="0"/>
        <w:ind w:left="567"/>
        <w:jc w:val="both"/>
      </w:pPr>
      <w:r w:rsidRPr="0080160C">
        <w:t>„Die Universität, die nicht zum geringsten Teil ihm [Husserl] ihren Ruf verdankte, en</w:t>
      </w:r>
      <w:r w:rsidRPr="0080160C">
        <w:t>t</w:t>
      </w:r>
      <w:r w:rsidRPr="0080160C">
        <w:t>zog sich durch Ignorieren aller Verlegenheit. Ein Herr Grunsky hat später eine Brosch</w:t>
      </w:r>
      <w:r w:rsidRPr="0080160C">
        <w:t>ü</w:t>
      </w:r>
      <w:r w:rsidRPr="0080160C">
        <w:t xml:space="preserve">re geschrieben, welche beweisen sollte, </w:t>
      </w:r>
      <w:proofErr w:type="spellStart"/>
      <w:r w:rsidRPr="0080160C">
        <w:t>daß</w:t>
      </w:r>
      <w:proofErr w:type="spellEnd"/>
      <w:r w:rsidRPr="0080160C">
        <w:t xml:space="preserve"> Husserl, wie schon </w:t>
      </w:r>
      <w:proofErr w:type="spellStart"/>
      <w:r w:rsidRPr="0080160C">
        <w:t>Philo</w:t>
      </w:r>
      <w:proofErr w:type="spellEnd"/>
      <w:r w:rsidRPr="0080160C">
        <w:t xml:space="preserve"> und Cohen, die Ideenwelt des ‚Ariers‘ Plato ‚</w:t>
      </w:r>
      <w:proofErr w:type="spellStart"/>
      <w:r w:rsidRPr="0080160C">
        <w:t>talmudisiert</w:t>
      </w:r>
      <w:proofErr w:type="spellEnd"/>
      <w:r w:rsidRPr="0080160C">
        <w:t>‘ habe.“</w:t>
      </w:r>
      <w:r w:rsidRPr="0080160C">
        <w:rPr>
          <w:rStyle w:val="Funotenzeichen"/>
        </w:rPr>
        <w:footnoteReference w:id="31"/>
      </w:r>
    </w:p>
    <w:p w:rsidR="00302FA4" w:rsidRPr="0080160C" w:rsidRDefault="00302FA4" w:rsidP="00D87B79">
      <w:pPr>
        <w:spacing w:after="0"/>
        <w:jc w:val="both"/>
      </w:pPr>
      <w:r w:rsidRPr="0080160C">
        <w:t>Husserls Werke werden an einem „Schandpfahl“ als „Judenwerk“ bloßgestellt.</w:t>
      </w:r>
    </w:p>
    <w:p w:rsidR="00302FA4" w:rsidRPr="0080160C" w:rsidRDefault="00302FA4" w:rsidP="00D87B79">
      <w:pPr>
        <w:spacing w:after="0"/>
        <w:ind w:firstLine="708"/>
        <w:jc w:val="both"/>
      </w:pPr>
      <w:r w:rsidRPr="0080160C">
        <w:t xml:space="preserve">Was Karl Löwith über Freiburg und Marburg berichtet, spielte sich in ähnlicher Weise auch an anderen Universitäten ab. Der Mathematiker Peter </w:t>
      </w:r>
      <w:proofErr w:type="spellStart"/>
      <w:r w:rsidRPr="0080160C">
        <w:t>Thullen</w:t>
      </w:r>
      <w:proofErr w:type="spellEnd"/>
      <w:r w:rsidRPr="0080160C">
        <w:t xml:space="preserve"> hat in seinem Tagebuch über nahezu identische Vorgänge berichtet, die sich in Münster vollzogen.</w:t>
      </w:r>
      <w:r w:rsidRPr="0080160C">
        <w:rPr>
          <w:rStyle w:val="Funotenzeichen"/>
        </w:rPr>
        <w:footnoteReference w:id="32"/>
      </w:r>
      <w:r w:rsidRPr="0080160C">
        <w:t xml:space="preserve"> Löwiths Urteil über die akademische Intelligenz und ihr Verhalten ist eindeutig: „Die Masse der deutschen Intelligenz war reaktionär oder indifferent“.</w:t>
      </w:r>
      <w:r w:rsidRPr="0080160C">
        <w:rPr>
          <w:rStyle w:val="Funotenzeichen"/>
        </w:rPr>
        <w:footnoteReference w:id="33"/>
      </w:r>
    </w:p>
    <w:p w:rsidR="00302FA4" w:rsidRPr="0080160C" w:rsidRDefault="00302FA4" w:rsidP="00D87B79">
      <w:pPr>
        <w:spacing w:after="0"/>
        <w:jc w:val="both"/>
      </w:pPr>
    </w:p>
    <w:p w:rsidR="00302FA4" w:rsidRPr="0080160C" w:rsidRDefault="00302FA4" w:rsidP="00D87B79">
      <w:pPr>
        <w:spacing w:after="0"/>
        <w:jc w:val="both"/>
      </w:pPr>
      <w:r w:rsidRPr="0080160C">
        <w:tab/>
        <w:t>Aufschlussreich sind Löwiths Ausführungen zu Heidegger und seinem Verhalten nach der „Machtergreifung“. Es stellt aus heutiger Sicht in mancherlei Beziehung ein Rätsel dar, weshalb ein diszipliniert und rational orientierter Wissenschaftler wie Löwith überhaupt Schüler von Heidegger werden konnte. Löwith erklärt es psychologisch:</w:t>
      </w:r>
    </w:p>
    <w:p w:rsidR="00302FA4" w:rsidRPr="0080160C" w:rsidRDefault="00302FA4" w:rsidP="00D87B79">
      <w:pPr>
        <w:spacing w:after="0"/>
        <w:ind w:left="567"/>
        <w:jc w:val="both"/>
      </w:pPr>
      <w:r w:rsidRPr="0080160C">
        <w:t xml:space="preserve">„Die faszinierende Wirkung, die von ihm [Heidegger] ausging, war zum Teil in der </w:t>
      </w:r>
      <w:proofErr w:type="spellStart"/>
      <w:r w:rsidRPr="0080160C">
        <w:t>U</w:t>
      </w:r>
      <w:r w:rsidRPr="0080160C">
        <w:t>n</w:t>
      </w:r>
      <w:r w:rsidRPr="0080160C">
        <w:t>durchsichtgkeit</w:t>
      </w:r>
      <w:proofErr w:type="spellEnd"/>
      <w:r w:rsidRPr="0080160C">
        <w:t xml:space="preserve"> seines Wesens begründet: niemand kannte sich mit ihm aus, und seine Person ist wie seine Vorlesung durch Jahre hindurch ein Gegenstand heftiger Kontr</w:t>
      </w:r>
      <w:r w:rsidRPr="0080160C">
        <w:t>o</w:t>
      </w:r>
      <w:r w:rsidRPr="0080160C">
        <w:t>versen gewesen. Er war wie Fichte nur zur Hälfte ein Mann der Wissenschaft, zur and</w:t>
      </w:r>
      <w:r w:rsidRPr="0080160C">
        <w:t>e</w:t>
      </w:r>
      <w:r w:rsidRPr="0080160C">
        <w:t xml:space="preserve">ren und vielleicht größeren ein opponierender Charakter und Prediger, der durch Vor-den-Kopf-Stoßen anzuziehen verstand und </w:t>
      </w:r>
      <w:r w:rsidRPr="0080160C">
        <w:rPr>
          <w:i/>
        </w:rPr>
        <w:t xml:space="preserve">den der Unmut über die Zeit </w:t>
      </w:r>
      <w:r w:rsidRPr="0080160C">
        <w:t>und sich selbst vorantrieb.“</w:t>
      </w:r>
      <w:r w:rsidRPr="0080160C">
        <w:rPr>
          <w:rStyle w:val="Funotenzeichen"/>
        </w:rPr>
        <w:footnoteReference w:id="34"/>
      </w:r>
    </w:p>
    <w:p w:rsidR="00302FA4" w:rsidRPr="0080160C" w:rsidRDefault="00302FA4" w:rsidP="00D87B79">
      <w:pPr>
        <w:spacing w:after="0"/>
        <w:jc w:val="both"/>
      </w:pPr>
      <w:r w:rsidRPr="0080160C">
        <w:t>Löwith analysiert genau die unterschiedlichen Äußerungen Heideggers im Zusammenhang der „Machtergreifung“. Die Trennfolie ist dabei die Rationalität. Am Beispiel der Rektorat</w:t>
      </w:r>
      <w:r w:rsidRPr="0080160C">
        <w:t>s</w:t>
      </w:r>
      <w:r w:rsidRPr="0080160C">
        <w:t>rede zeigt Löwith, wie Heidegger ohne Skrupel Grundbegriffe seines philosophischen De</w:t>
      </w:r>
      <w:r w:rsidRPr="0080160C">
        <w:t>n</w:t>
      </w:r>
      <w:r w:rsidRPr="0080160C">
        <w:t>kens den Gegebenheiten anpasst:</w:t>
      </w:r>
    </w:p>
    <w:p w:rsidR="00302FA4" w:rsidRPr="0080160C" w:rsidRDefault="00302FA4" w:rsidP="00D87B79">
      <w:pPr>
        <w:spacing w:after="0"/>
        <w:ind w:left="567"/>
        <w:jc w:val="both"/>
      </w:pPr>
      <w:r w:rsidRPr="0080160C">
        <w:lastRenderedPageBreak/>
        <w:t xml:space="preserve">„Der ‚Arbeits-‘ und ‚Wehrdienst‘ wird eins mit dem ‚Wissensdienst‘, so </w:t>
      </w:r>
      <w:proofErr w:type="spellStart"/>
      <w:r w:rsidRPr="0080160C">
        <w:t>daß</w:t>
      </w:r>
      <w:proofErr w:type="spellEnd"/>
      <w:r w:rsidRPr="0080160C">
        <w:t xml:space="preserve"> man am Ende des Vortrags nicht weiß, ob man Diels‘ </w:t>
      </w:r>
      <w:r w:rsidRPr="0080160C">
        <w:rPr>
          <w:i/>
        </w:rPr>
        <w:t>Vorsokratiker</w:t>
      </w:r>
      <w:r w:rsidRPr="0080160C">
        <w:t xml:space="preserve"> in die Hand nehmen soll oder mit der S.A. marschieren.“</w:t>
      </w:r>
      <w:r w:rsidRPr="0080160C">
        <w:rPr>
          <w:rStyle w:val="Funotenzeichen"/>
        </w:rPr>
        <w:footnoteReference w:id="35"/>
      </w:r>
      <w:r w:rsidRPr="0080160C">
        <w:t xml:space="preserve"> </w:t>
      </w:r>
    </w:p>
    <w:p w:rsidR="00302FA4" w:rsidRPr="0080160C" w:rsidRDefault="00302FA4" w:rsidP="00D87B79">
      <w:pPr>
        <w:spacing w:after="0"/>
        <w:jc w:val="both"/>
      </w:pPr>
      <w:r w:rsidRPr="0080160C">
        <w:t>Die schärfste Kritik trifft Heideggers „</w:t>
      </w:r>
      <w:proofErr w:type="spellStart"/>
      <w:r w:rsidRPr="0080160C">
        <w:t>Schlageter</w:t>
      </w:r>
      <w:proofErr w:type="spellEnd"/>
      <w:r w:rsidRPr="0080160C">
        <w:t>-Rede“ (</w:t>
      </w:r>
      <w:r w:rsidRPr="0080160C">
        <w:rPr>
          <w:i/>
        </w:rPr>
        <w:t xml:space="preserve">Freiburger Studentenzeitung, </w:t>
      </w:r>
      <w:r w:rsidRPr="0080160C">
        <w:t>1. Juni 1933). Löwith bekennt seine Fassungslosigkeit darüber, wie Heidegger hier das Thema des „je eigenen Todes“ auf eine der problematischsten Gestalten der NS-Mythologie überträgt:</w:t>
      </w:r>
    </w:p>
    <w:p w:rsidR="00302FA4" w:rsidRPr="0080160C" w:rsidRDefault="00302FA4" w:rsidP="00D87B79">
      <w:pPr>
        <w:spacing w:after="0"/>
        <w:ind w:left="567"/>
        <w:jc w:val="both"/>
      </w:pPr>
      <w:r w:rsidRPr="0080160C">
        <w:t xml:space="preserve">„Wohl keiner von uns [den Heidegger-Schüler] wäre 1927, als Heideggers </w:t>
      </w:r>
      <w:r w:rsidRPr="0080160C">
        <w:rPr>
          <w:i/>
        </w:rPr>
        <w:t>Sein und Zeit</w:t>
      </w:r>
      <w:r w:rsidRPr="0080160C">
        <w:t xml:space="preserve"> erschien, auf den Gedanken gekommen, </w:t>
      </w:r>
      <w:proofErr w:type="spellStart"/>
      <w:r w:rsidRPr="0080160C">
        <w:t>daß</w:t>
      </w:r>
      <w:proofErr w:type="spellEnd"/>
      <w:r w:rsidRPr="0080160C">
        <w:t xml:space="preserve"> der ‚je eigene‘, radikal vereinzelnde Tod, zu dessen Veranschaulichung Heidegger auf Tolstois Erzählung vom </w:t>
      </w:r>
      <w:r w:rsidRPr="0080160C">
        <w:rPr>
          <w:i/>
        </w:rPr>
        <w:t>Tod des Iwan Ilji</w:t>
      </w:r>
      <w:r w:rsidRPr="0080160C">
        <w:rPr>
          <w:i/>
        </w:rPr>
        <w:t>t</w:t>
      </w:r>
      <w:r w:rsidRPr="0080160C">
        <w:rPr>
          <w:i/>
        </w:rPr>
        <w:t>sch</w:t>
      </w:r>
      <w:r w:rsidRPr="0080160C">
        <w:t xml:space="preserve"> verweist, sechs Jahre später dazu </w:t>
      </w:r>
      <w:proofErr w:type="spellStart"/>
      <w:r w:rsidRPr="0080160C">
        <w:t>umfrisiert</w:t>
      </w:r>
      <w:proofErr w:type="spellEnd"/>
      <w:r w:rsidRPr="0080160C">
        <w:t xml:space="preserve"> werden könnte, um den Ruhm eines n</w:t>
      </w:r>
      <w:r w:rsidRPr="0080160C">
        <w:t>a</w:t>
      </w:r>
      <w:r w:rsidRPr="0080160C">
        <w:t xml:space="preserve">tionalsozialistischen ‚Helden‘ zu künden. […] </w:t>
      </w:r>
      <w:proofErr w:type="spellStart"/>
      <w:r w:rsidRPr="0080160C">
        <w:t>Schlageter</w:t>
      </w:r>
      <w:proofErr w:type="spellEnd"/>
      <w:r w:rsidRPr="0080160C">
        <w:t>, heißt es in dieser künstlich geschraubten Gedenkrede, sei den ‚schwersten und größten Tod‘ gestorben, als er (w</w:t>
      </w:r>
      <w:r w:rsidRPr="0080160C">
        <w:t>e</w:t>
      </w:r>
      <w:r w:rsidRPr="0080160C">
        <w:t>gen Sabotage in dem von Frankreich besetzten Gebiet) wehrlos erschossen wurde, wä</w:t>
      </w:r>
      <w:r w:rsidRPr="0080160C">
        <w:t>h</w:t>
      </w:r>
      <w:r w:rsidRPr="0080160C">
        <w:t xml:space="preserve">rend seine Nation erniedrigt am Boden lag. ‚Er </w:t>
      </w:r>
      <w:proofErr w:type="spellStart"/>
      <w:r w:rsidRPr="0080160C">
        <w:t>mußte</w:t>
      </w:r>
      <w:proofErr w:type="spellEnd"/>
      <w:r w:rsidRPr="0080160C">
        <w:t xml:space="preserve"> allein, aus sich das Bild des kün</w:t>
      </w:r>
      <w:r w:rsidRPr="0080160C">
        <w:t>f</w:t>
      </w:r>
      <w:r w:rsidRPr="0080160C">
        <w:t xml:space="preserve">tigen Aufbruchs des Volkes zu seiner Ehre und Größe sich vor die Seele stellen, um im Glauben daran zu sterben‘. […] In Wahrheit war </w:t>
      </w:r>
      <w:proofErr w:type="spellStart"/>
      <w:r w:rsidRPr="0080160C">
        <w:t>Schlageter</w:t>
      </w:r>
      <w:proofErr w:type="spellEnd"/>
      <w:r w:rsidRPr="0080160C">
        <w:t xml:space="preserve"> einer der vielen, nach dem Kriege aus ihrer Bahn geworfenen jungen  Deutschen, die teils Kommunisten und teils das Gegenteil wurden […]. Verwildert durch den Krieg und entlassen vom Militärdienst konnten sie nicht mehr ins zivile Leben zurückfinden; sie schlossen sich einem der Freikorps an, um irgendwo und gegen irgendwen in zügellosen Unternehmungen ihr Leben zu verspielen. Der Existenzphilosoph nennt dies ein Müssen. ‚Er </w:t>
      </w:r>
      <w:proofErr w:type="spellStart"/>
      <w:r w:rsidRPr="0080160C">
        <w:rPr>
          <w:i/>
        </w:rPr>
        <w:t>mußte</w:t>
      </w:r>
      <w:proofErr w:type="spellEnd"/>
      <w:r w:rsidRPr="0080160C">
        <w:t xml:space="preserve"> ins Balt</w:t>
      </w:r>
      <w:r w:rsidRPr="0080160C">
        <w:t>i</w:t>
      </w:r>
      <w:r w:rsidRPr="0080160C">
        <w:t xml:space="preserve">kum, er </w:t>
      </w:r>
      <w:proofErr w:type="spellStart"/>
      <w:r w:rsidRPr="0080160C">
        <w:rPr>
          <w:i/>
        </w:rPr>
        <w:t>mußte</w:t>
      </w:r>
      <w:proofErr w:type="spellEnd"/>
      <w:r w:rsidRPr="0080160C">
        <w:rPr>
          <w:i/>
        </w:rPr>
        <w:t xml:space="preserve"> </w:t>
      </w:r>
      <w:r w:rsidRPr="0080160C">
        <w:t xml:space="preserve">nach Oberschlesien, er </w:t>
      </w:r>
      <w:proofErr w:type="spellStart"/>
      <w:r w:rsidRPr="0080160C">
        <w:rPr>
          <w:i/>
        </w:rPr>
        <w:t>mußte</w:t>
      </w:r>
      <w:proofErr w:type="spellEnd"/>
      <w:r w:rsidRPr="0080160C">
        <w:t xml:space="preserve"> an die Ruhr‘ […]. So weit war das Fatum der antiken Tragödie bis auf unsere Inflationszeit selbst bei einem Philosophen heru</w:t>
      </w:r>
      <w:r w:rsidRPr="0080160C">
        <w:t>n</w:t>
      </w:r>
      <w:r w:rsidRPr="0080160C">
        <w:t>tergekommen.“</w:t>
      </w:r>
      <w:r w:rsidRPr="0080160C">
        <w:rPr>
          <w:rStyle w:val="Funotenzeichen"/>
        </w:rPr>
        <w:footnoteReference w:id="36"/>
      </w:r>
    </w:p>
    <w:p w:rsidR="00302FA4" w:rsidRPr="0080160C" w:rsidRDefault="00302FA4" w:rsidP="00D87B79">
      <w:pPr>
        <w:spacing w:after="0"/>
        <w:jc w:val="both"/>
      </w:pPr>
      <w:r w:rsidRPr="0080160C">
        <w:t xml:space="preserve">Löwith stellt keine Vermutungen darüber an, weshalb Heidegger </w:t>
      </w:r>
      <w:proofErr w:type="spellStart"/>
      <w:r w:rsidRPr="0080160C">
        <w:t>Schlageter</w:t>
      </w:r>
      <w:proofErr w:type="spellEnd"/>
      <w:r w:rsidRPr="0080160C">
        <w:t xml:space="preserve"> zum antiken He</w:t>
      </w:r>
      <w:r w:rsidRPr="0080160C">
        <w:t>l</w:t>
      </w:r>
      <w:r w:rsidRPr="0080160C">
        <w:t>den stilisiert. Er sieht hinter dem Verhalten nicht Opportunismus, sondern eine – Löwith u</w:t>
      </w:r>
      <w:r w:rsidRPr="0080160C">
        <w:t>n</w:t>
      </w:r>
      <w:r w:rsidRPr="0080160C">
        <w:t>begreifliche – Überzeugung. Das „Heil Hitler“, mit dem Heidegger selbst private Briefe a</w:t>
      </w:r>
      <w:r w:rsidRPr="0080160C">
        <w:t>b</w:t>
      </w:r>
      <w:r w:rsidRPr="0080160C">
        <w:t>schloss, war nach Löwiths Überzeugung „stockbieder ernst“</w:t>
      </w:r>
      <w:r w:rsidRPr="0080160C">
        <w:rPr>
          <w:rStyle w:val="Funotenzeichen"/>
        </w:rPr>
        <w:footnoteReference w:id="37"/>
      </w:r>
      <w:r w:rsidRPr="0080160C">
        <w:t xml:space="preserve"> gemeint. Er berichtet, dass Heidegger auch 1936 noch überzeugt gewesen sei, „</w:t>
      </w:r>
      <w:proofErr w:type="spellStart"/>
      <w:r w:rsidRPr="0080160C">
        <w:t>daß</w:t>
      </w:r>
      <w:proofErr w:type="spellEnd"/>
      <w:r w:rsidRPr="0080160C">
        <w:t xml:space="preserve"> der Nationalsozialismus der für Deutschland vorgezeichnete Weg sei; man müsse nur lange genug ‚durchhalten‘.“</w:t>
      </w:r>
      <w:r w:rsidRPr="0080160C">
        <w:rPr>
          <w:rStyle w:val="Funotenzeichen"/>
        </w:rPr>
        <w:footnoteReference w:id="38"/>
      </w:r>
      <w:r w:rsidRPr="0080160C">
        <w:t xml:space="preserve"> Selbst in Rom entfernt Heidegger das Parteiabzeichen nicht von seinem Rock.</w:t>
      </w:r>
    </w:p>
    <w:p w:rsidR="00302FA4" w:rsidRPr="0080160C" w:rsidRDefault="00302FA4" w:rsidP="00D87B79">
      <w:pPr>
        <w:spacing w:after="0"/>
        <w:jc w:val="both"/>
      </w:pPr>
    </w:p>
    <w:p w:rsidR="00A45B33" w:rsidRPr="0080160C" w:rsidRDefault="00B42804" w:rsidP="00D87B79">
      <w:pPr>
        <w:spacing w:after="0"/>
        <w:ind w:firstLine="708"/>
        <w:jc w:val="both"/>
      </w:pPr>
      <w:r w:rsidRPr="0080160C">
        <w:t>In seinem Bericht nimmt</w:t>
      </w:r>
      <w:r w:rsidR="00302FA4" w:rsidRPr="0080160C">
        <w:t xml:space="preserve"> Löwith </w:t>
      </w:r>
      <w:r w:rsidRPr="0080160C">
        <w:t xml:space="preserve">auch Stellung </w:t>
      </w:r>
      <w:r w:rsidR="00302FA4" w:rsidRPr="0080160C">
        <w:t>zum „</w:t>
      </w:r>
      <w:r w:rsidR="00A45B33" w:rsidRPr="0080160C">
        <w:t>Gesetz zur Wiederherstellung des Berufsbeamtentums</w:t>
      </w:r>
      <w:r w:rsidR="00302FA4" w:rsidRPr="0080160C">
        <w:t xml:space="preserve">“. Er berichtet, dass </w:t>
      </w:r>
      <w:r w:rsidR="008166F1" w:rsidRPr="0080160C">
        <w:t xml:space="preserve">an der Philosophischen Fakultät in Marburg </w:t>
      </w:r>
      <w:r w:rsidR="00302FA4" w:rsidRPr="0080160C">
        <w:t xml:space="preserve">von den </w:t>
      </w:r>
      <w:r w:rsidR="008166F1" w:rsidRPr="0080160C">
        <w:t xml:space="preserve">entsprechenden </w:t>
      </w:r>
      <w:r w:rsidR="00302FA4" w:rsidRPr="0080160C">
        <w:t>Entlassungen</w:t>
      </w:r>
      <w:r w:rsidR="00A45B33" w:rsidRPr="0080160C">
        <w:t xml:space="preserve"> in der Folge dieses Gesetzes</w:t>
      </w:r>
      <w:r w:rsidR="00302FA4" w:rsidRPr="0080160C">
        <w:t xml:space="preserve"> kein Mitglied betroffen </w:t>
      </w:r>
      <w:r w:rsidRPr="0080160C">
        <w:t>gew</w:t>
      </w:r>
      <w:r w:rsidRPr="0080160C">
        <w:t>e</w:t>
      </w:r>
      <w:r w:rsidRPr="0080160C">
        <w:t>sen sei</w:t>
      </w:r>
      <w:r w:rsidR="00302FA4" w:rsidRPr="0080160C">
        <w:t xml:space="preserve">: „der Archäologe </w:t>
      </w:r>
      <w:proofErr w:type="spellStart"/>
      <w:r w:rsidR="00302FA4" w:rsidRPr="0080160C">
        <w:t>Jacobsthal</w:t>
      </w:r>
      <w:proofErr w:type="spellEnd"/>
      <w:r w:rsidR="00302FA4" w:rsidRPr="0080160C">
        <w:t xml:space="preserve"> war schon vor 1914 ordentlicher Professor gewesen, der klassische Philologe Friedländer, der Philosoph Frank, der Romanist Auerbach, der Kunsthi</w:t>
      </w:r>
      <w:r w:rsidR="00302FA4" w:rsidRPr="0080160C">
        <w:t>s</w:t>
      </w:r>
      <w:r w:rsidR="00302FA4" w:rsidRPr="0080160C">
        <w:t xml:space="preserve">toriker </w:t>
      </w:r>
      <w:proofErr w:type="spellStart"/>
      <w:r w:rsidR="00302FA4" w:rsidRPr="0080160C">
        <w:t>Krautheimer</w:t>
      </w:r>
      <w:proofErr w:type="spellEnd"/>
      <w:r w:rsidR="00302FA4" w:rsidRPr="0080160C">
        <w:t xml:space="preserve"> und ich – wir alle waren im Felde gewesen“.</w:t>
      </w:r>
      <w:r w:rsidR="00302FA4" w:rsidRPr="0080160C">
        <w:rPr>
          <w:rStyle w:val="Funotenzeichen"/>
        </w:rPr>
        <w:footnoteReference w:id="39"/>
      </w:r>
      <w:r w:rsidR="00302FA4" w:rsidRPr="0080160C">
        <w:t xml:space="preserve"> </w:t>
      </w:r>
      <w:r w:rsidR="004038AF" w:rsidRPr="0080160C">
        <w:t>Es folgt die entscheidende Einschränkung: D</w:t>
      </w:r>
      <w:r w:rsidR="00302FA4" w:rsidRPr="0080160C">
        <w:t>e</w:t>
      </w:r>
      <w:r w:rsidR="004038AF" w:rsidRPr="0080160C">
        <w:t>r</w:t>
      </w:r>
      <w:r w:rsidR="00302FA4" w:rsidRPr="0080160C">
        <w:t xml:space="preserve"> </w:t>
      </w:r>
      <w:proofErr w:type="spellStart"/>
      <w:r w:rsidR="00302FA4" w:rsidRPr="0080160C">
        <w:t>Slawist</w:t>
      </w:r>
      <w:proofErr w:type="spellEnd"/>
      <w:r w:rsidR="00302FA4" w:rsidRPr="0080160C">
        <w:t xml:space="preserve"> Jacobsohn</w:t>
      </w:r>
      <w:r w:rsidR="004038AF" w:rsidRPr="0080160C">
        <w:t xml:space="preserve">, der mit der Entlassung habe rechnen müssen, habe sich „in seiner Verzweiflung“ das </w:t>
      </w:r>
      <w:r w:rsidR="00302FA4" w:rsidRPr="0080160C">
        <w:t>Leben</w:t>
      </w:r>
      <w:r w:rsidRPr="0080160C">
        <w:t xml:space="preserve"> genommen</w:t>
      </w:r>
      <w:r w:rsidR="00302FA4" w:rsidRPr="0080160C">
        <w:t xml:space="preserve">. </w:t>
      </w:r>
      <w:r w:rsidR="00A45B33" w:rsidRPr="0080160C">
        <w:t xml:space="preserve">In der Marburger Zeitung habe man auf </w:t>
      </w:r>
      <w:r w:rsidR="00A45B33" w:rsidRPr="0080160C">
        <w:lastRenderedPageBreak/>
        <w:t xml:space="preserve">den Freitod mit einer zynischen Bemerkung reagiert. </w:t>
      </w:r>
      <w:r w:rsidRPr="0080160C">
        <w:t xml:space="preserve">Die Universität habe nicht einmal ein Gedenkwort </w:t>
      </w:r>
      <w:r w:rsidR="00A45B33" w:rsidRPr="0080160C">
        <w:t>für erforderlich gehalten</w:t>
      </w:r>
      <w:r w:rsidRPr="0080160C">
        <w:t>.</w:t>
      </w:r>
    </w:p>
    <w:p w:rsidR="00302FA4" w:rsidRPr="0080160C" w:rsidRDefault="00302FA4" w:rsidP="00D87B79">
      <w:pPr>
        <w:spacing w:after="0"/>
        <w:ind w:firstLine="708"/>
        <w:jc w:val="both"/>
      </w:pPr>
      <w:r w:rsidRPr="0080160C">
        <w:t>Löwith</w:t>
      </w:r>
      <w:r w:rsidR="00A45B33" w:rsidRPr="0080160C">
        <w:t xml:space="preserve"> geht anschließend genauer auf die Ausnahmeregelung ein, der er selber die einstweilige Weiterbeschäftigung verdankt</w:t>
      </w:r>
      <w:r w:rsidR="008166F1" w:rsidRPr="0080160C">
        <w:t>e</w:t>
      </w:r>
      <w:r w:rsidR="00A45B33" w:rsidRPr="0080160C">
        <w:t xml:space="preserve">. </w:t>
      </w:r>
      <w:r w:rsidR="004038AF" w:rsidRPr="0080160C">
        <w:t>In seinen Augen sei</w:t>
      </w:r>
      <w:r w:rsidRPr="0080160C">
        <w:t xml:space="preserve"> de</w:t>
      </w:r>
      <w:r w:rsidR="00A45B33" w:rsidRPr="0080160C">
        <w:t>r sog. „</w:t>
      </w:r>
      <w:r w:rsidRPr="0080160C">
        <w:t>Frontkämpferp</w:t>
      </w:r>
      <w:r w:rsidRPr="0080160C">
        <w:t>a</w:t>
      </w:r>
      <w:r w:rsidRPr="0080160C">
        <w:t>ragraf</w:t>
      </w:r>
      <w:r w:rsidR="00A45B33" w:rsidRPr="0080160C">
        <w:t xml:space="preserve">“ weder </w:t>
      </w:r>
      <w:r w:rsidRPr="0080160C">
        <w:t>eine Auszeichnung</w:t>
      </w:r>
      <w:r w:rsidR="00A45B33" w:rsidRPr="0080160C">
        <w:t xml:space="preserve"> noch </w:t>
      </w:r>
      <w:r w:rsidRPr="0080160C">
        <w:t>eine „Ehre“</w:t>
      </w:r>
      <w:r w:rsidR="004038AF" w:rsidRPr="0080160C">
        <w:t xml:space="preserve">, vielmehr </w:t>
      </w:r>
      <w:r w:rsidR="00A45B33" w:rsidRPr="0080160C">
        <w:t>eine</w:t>
      </w:r>
      <w:r w:rsidRPr="0080160C">
        <w:t xml:space="preserve"> „Schande“.</w:t>
      </w:r>
      <w:r w:rsidRPr="0080160C">
        <w:rPr>
          <w:rStyle w:val="Funotenzeichen"/>
        </w:rPr>
        <w:footnoteReference w:id="40"/>
      </w:r>
      <w:r w:rsidRPr="0080160C">
        <w:t xml:space="preserve"> </w:t>
      </w:r>
      <w:r w:rsidR="00A45B33" w:rsidRPr="0080160C">
        <w:t>Durch die</w:t>
      </w:r>
      <w:r w:rsidRPr="0080160C">
        <w:t xml:space="preserve"> Ausnahmeregelung speziell für </w:t>
      </w:r>
      <w:r w:rsidR="008166F1" w:rsidRPr="0080160C">
        <w:t xml:space="preserve">die </w:t>
      </w:r>
      <w:r w:rsidRPr="0080160C">
        <w:t>„</w:t>
      </w:r>
      <w:r w:rsidR="00A45B33" w:rsidRPr="0080160C">
        <w:t>jüdisch</w:t>
      </w:r>
      <w:r w:rsidRPr="0080160C">
        <w:t>en</w:t>
      </w:r>
      <w:r w:rsidR="00A45B33" w:rsidRPr="0080160C">
        <w:t xml:space="preserve"> Frontkämp</w:t>
      </w:r>
      <w:r w:rsidR="008166F1" w:rsidRPr="0080160C">
        <w:t>f</w:t>
      </w:r>
      <w:r w:rsidR="00A45B33" w:rsidRPr="0080160C">
        <w:t>er</w:t>
      </w:r>
      <w:r w:rsidRPr="0080160C">
        <w:t>“</w:t>
      </w:r>
      <w:r w:rsidR="008166F1" w:rsidRPr="0080160C">
        <w:t xml:space="preserve"> würden diese </w:t>
      </w:r>
      <w:r w:rsidRPr="0080160C">
        <w:t xml:space="preserve">zu Staatsbürgern minderen Rechts erklärt, denn nur </w:t>
      </w:r>
      <w:r w:rsidR="008166F1" w:rsidRPr="0080160C">
        <w:t>aufgrund der Ausnahmeregelung</w:t>
      </w:r>
      <w:r w:rsidRPr="0080160C">
        <w:t xml:space="preserve">, </w:t>
      </w:r>
      <w:r w:rsidR="008166F1" w:rsidRPr="0080160C">
        <w:t xml:space="preserve">aber </w:t>
      </w:r>
      <w:r w:rsidRPr="0080160C">
        <w:t xml:space="preserve">nicht </w:t>
      </w:r>
      <w:r w:rsidR="008166F1" w:rsidRPr="0080160C">
        <w:t>weil sie deu</w:t>
      </w:r>
      <w:r w:rsidR="008166F1" w:rsidRPr="0080160C">
        <w:t>t</w:t>
      </w:r>
      <w:r w:rsidR="008166F1" w:rsidRPr="0080160C">
        <w:t>sche Staatsbürger</w:t>
      </w:r>
      <w:r w:rsidRPr="0080160C">
        <w:t xml:space="preserve"> sind, </w:t>
      </w:r>
      <w:r w:rsidR="008166F1" w:rsidRPr="0080160C">
        <w:t>dürf</w:t>
      </w:r>
      <w:r w:rsidR="004038AF" w:rsidRPr="0080160C">
        <w:t>t</w:t>
      </w:r>
      <w:r w:rsidR="008166F1" w:rsidRPr="0080160C">
        <w:t xml:space="preserve">en sie </w:t>
      </w:r>
      <w:r w:rsidRPr="0080160C">
        <w:t>weiterhin ihren Beruf ausüben. Für Löwith steht unmis</w:t>
      </w:r>
      <w:r w:rsidRPr="0080160C">
        <w:t>s</w:t>
      </w:r>
      <w:r w:rsidRPr="0080160C">
        <w:t xml:space="preserve">verständlich fest, dass </w:t>
      </w:r>
      <w:r w:rsidR="004038AF" w:rsidRPr="0080160C">
        <w:t>die</w:t>
      </w:r>
      <w:r w:rsidRPr="0080160C">
        <w:t xml:space="preserve"> freie Berufsausübung zu den </w:t>
      </w:r>
      <w:r w:rsidR="008166F1" w:rsidRPr="0080160C">
        <w:t xml:space="preserve">staatsbürgerlichen </w:t>
      </w:r>
      <w:r w:rsidRPr="0080160C">
        <w:t>Grundrechten g</w:t>
      </w:r>
      <w:r w:rsidRPr="0080160C">
        <w:t>e</w:t>
      </w:r>
      <w:r w:rsidRPr="0080160C">
        <w:t xml:space="preserve">hört, die nicht durch Gesetz zur Disposition gestellt werden </w:t>
      </w:r>
      <w:r w:rsidR="008166F1" w:rsidRPr="0080160C">
        <w:t>dürf</w:t>
      </w:r>
      <w:r w:rsidRPr="0080160C">
        <w:t xml:space="preserve">en. Wenn aus der Tatsache, dass jemand Frontkämpfer war, er also wie alle </w:t>
      </w:r>
      <w:r w:rsidR="00E238A3" w:rsidRPr="0080160C">
        <w:t xml:space="preserve">anderen </w:t>
      </w:r>
      <w:r w:rsidRPr="0080160C">
        <w:t>Deutschen seiner Pflicht als Staat</w:t>
      </w:r>
      <w:r w:rsidRPr="0080160C">
        <w:t>s</w:t>
      </w:r>
      <w:r w:rsidRPr="0080160C">
        <w:t xml:space="preserve">bürger nachgekommen ist, ein </w:t>
      </w:r>
      <w:r w:rsidRPr="0080160C">
        <w:rPr>
          <w:i/>
        </w:rPr>
        <w:t xml:space="preserve">Sonderrecht </w:t>
      </w:r>
      <w:r w:rsidRPr="0080160C">
        <w:t xml:space="preserve">abgeleitet wird, wird ihm damit nachträglich </w:t>
      </w:r>
      <w:r w:rsidRPr="0080160C">
        <w:rPr>
          <w:i/>
        </w:rPr>
        <w:t>auch das Staatsbürgerrecht</w:t>
      </w:r>
      <w:r w:rsidRPr="0080160C">
        <w:t>, also das ursprüngliche Recht, abgesprochen. Die vermeintliche Au</w:t>
      </w:r>
      <w:r w:rsidRPr="0080160C">
        <w:t>s</w:t>
      </w:r>
      <w:r w:rsidRPr="0080160C">
        <w:t xml:space="preserve">zeichnung wird damit zu einer Diskreditierung. – </w:t>
      </w:r>
      <w:r w:rsidR="008166F1" w:rsidRPr="0080160C">
        <w:t>D</w:t>
      </w:r>
      <w:r w:rsidRPr="0080160C">
        <w:t xml:space="preserve">as Recht, ein „Deutscher“ zu sein und sich als „Deutscher“ zu verstehen, </w:t>
      </w:r>
      <w:r w:rsidR="008166F1" w:rsidRPr="0080160C">
        <w:t xml:space="preserve">ist für Löwith </w:t>
      </w:r>
      <w:r w:rsidRPr="0080160C">
        <w:t>grundlegend. Es ist nicht vom religiösen B</w:t>
      </w:r>
      <w:r w:rsidRPr="0080160C">
        <w:t>e</w:t>
      </w:r>
      <w:r w:rsidRPr="0080160C">
        <w:t>kenntnis abhängig. Die Bedeutung es religiösen Bekenntnisses liegt auf anderer Ebene.</w:t>
      </w:r>
    </w:p>
    <w:p w:rsidR="00302FA4" w:rsidRPr="0080160C" w:rsidRDefault="00302FA4" w:rsidP="00D87B79">
      <w:pPr>
        <w:spacing w:after="0"/>
        <w:ind w:firstLine="708"/>
        <w:jc w:val="both"/>
      </w:pPr>
      <w:r w:rsidRPr="0080160C">
        <w:t>Löwith</w:t>
      </w:r>
      <w:r w:rsidR="00E238A3" w:rsidRPr="0080160C">
        <w:t xml:space="preserve"> beendet seinen Bericht mit</w:t>
      </w:r>
      <w:r w:rsidRPr="0080160C">
        <w:t xml:space="preserve"> eine</w:t>
      </w:r>
      <w:r w:rsidR="00E238A3" w:rsidRPr="0080160C">
        <w:t>r</w:t>
      </w:r>
      <w:r w:rsidRPr="0080160C">
        <w:t xml:space="preserve"> Hommage an Franz Rosenzweig</w:t>
      </w:r>
      <w:r w:rsidR="00B601E1" w:rsidRPr="0080160C">
        <w:t xml:space="preserve">, </w:t>
      </w:r>
      <w:proofErr w:type="spellStart"/>
      <w:r w:rsidR="00B601E1" w:rsidRPr="0080160C">
        <w:t>den</w:t>
      </w:r>
      <w:proofErr w:type="spellEnd"/>
      <w:r w:rsidR="00B601E1" w:rsidRPr="0080160C">
        <w:t xml:space="preserve"> neben Martin Buber bedeutendsten jüdischen Philosophen der Weimarer Republik</w:t>
      </w:r>
      <w:r w:rsidR="00E238A3" w:rsidRPr="0080160C">
        <w:t>. Rosenzweig ha</w:t>
      </w:r>
      <w:r w:rsidR="00E238A3" w:rsidRPr="0080160C">
        <w:t>t</w:t>
      </w:r>
      <w:r w:rsidR="00E238A3" w:rsidRPr="0080160C">
        <w:t xml:space="preserve">te auf die Frage, ob er mehr </w:t>
      </w:r>
      <w:r w:rsidR="00B601E1" w:rsidRPr="0080160C">
        <w:t>„</w:t>
      </w:r>
      <w:r w:rsidR="00E238A3" w:rsidRPr="0080160C">
        <w:t>Deutscher</w:t>
      </w:r>
      <w:r w:rsidR="00B601E1" w:rsidRPr="0080160C">
        <w:t>“</w:t>
      </w:r>
      <w:r w:rsidR="00E238A3" w:rsidRPr="0080160C">
        <w:t xml:space="preserve"> oder mehr </w:t>
      </w:r>
      <w:r w:rsidR="00B601E1" w:rsidRPr="0080160C">
        <w:t>„</w:t>
      </w:r>
      <w:r w:rsidR="00E238A3" w:rsidRPr="0080160C">
        <w:t>Jude</w:t>
      </w:r>
      <w:r w:rsidR="00B601E1" w:rsidRPr="0080160C">
        <w:t>“</w:t>
      </w:r>
      <w:r w:rsidR="00E238A3" w:rsidRPr="0080160C">
        <w:t xml:space="preserve"> sei, </w:t>
      </w:r>
      <w:r w:rsidR="00B601E1" w:rsidRPr="0080160C">
        <w:t>geantwortet, dass ihn die</w:t>
      </w:r>
      <w:r w:rsidRPr="0080160C">
        <w:t xml:space="preserve"> Au</w:t>
      </w:r>
      <w:r w:rsidRPr="0080160C">
        <w:t>s</w:t>
      </w:r>
      <w:r w:rsidRPr="0080160C">
        <w:t>sage in zwei Teile zerreißen würde</w:t>
      </w:r>
      <w:r w:rsidR="00B601E1" w:rsidRPr="0080160C">
        <w:t>, er lehne die Antwort deshalb ab</w:t>
      </w:r>
      <w:r w:rsidRPr="0080160C">
        <w:t xml:space="preserve">: </w:t>
      </w:r>
    </w:p>
    <w:p w:rsidR="00302FA4" w:rsidRPr="0080160C" w:rsidRDefault="00302FA4" w:rsidP="00D87B79">
      <w:pPr>
        <w:spacing w:after="0"/>
        <w:ind w:left="567"/>
        <w:jc w:val="both"/>
      </w:pPr>
      <w:r w:rsidRPr="0080160C">
        <w:t>„Ein deutscher Jude, dessen Arbeit über Hegel bekannt ist, während sein eigentliches Werk dem Judentum galt, wurde bei der Verhandlung wegen einer Berufung an eine j</w:t>
      </w:r>
      <w:r w:rsidRPr="0080160C">
        <w:t>ü</w:t>
      </w:r>
      <w:r w:rsidRPr="0080160C">
        <w:t>dische Schule</w:t>
      </w:r>
      <w:r w:rsidR="00B601E1" w:rsidRPr="0080160C">
        <w:rPr>
          <w:rStyle w:val="Funotenzeichen"/>
        </w:rPr>
        <w:footnoteReference w:id="41"/>
      </w:r>
      <w:r w:rsidRPr="0080160C">
        <w:t xml:space="preserve"> über seine Stellung zum Juden- und Deutschtum befragt. ‚Da habe ich erwidert, die Antwort auf diese Frage lehnte ich ab; wenn das Leben mich einmal auf die Folter spannen würde und mich in zwei Stücke reißen, so </w:t>
      </w:r>
      <w:proofErr w:type="spellStart"/>
      <w:r w:rsidRPr="0080160C">
        <w:t>wüßte</w:t>
      </w:r>
      <w:proofErr w:type="spellEnd"/>
      <w:r w:rsidRPr="0080160C">
        <w:t xml:space="preserve"> ich freilich, mit welcher der beiden Hälften das Herz, das ja unsymmetrisch gelagert sei, mitgehen wü</w:t>
      </w:r>
      <w:r w:rsidRPr="0080160C">
        <w:t>r</w:t>
      </w:r>
      <w:r w:rsidRPr="0080160C">
        <w:t xml:space="preserve">de; die Herren wollten mich aber doch lebendig haben und da </w:t>
      </w:r>
      <w:proofErr w:type="spellStart"/>
      <w:r w:rsidRPr="0080160C">
        <w:t>müßte</w:t>
      </w:r>
      <w:proofErr w:type="spellEnd"/>
      <w:r w:rsidRPr="0080160C">
        <w:t xml:space="preserve"> ich sie schon bi</w:t>
      </w:r>
      <w:r w:rsidRPr="0080160C">
        <w:t>t</w:t>
      </w:r>
      <w:r w:rsidRPr="0080160C">
        <w:t>ten, mich nicht auf die Folter dieser im wahren Sinn lebensgefährlichen Frage zu ste</w:t>
      </w:r>
      <w:r w:rsidRPr="0080160C">
        <w:t>l</w:t>
      </w:r>
      <w:r w:rsidRPr="0080160C">
        <w:t>len, sondern mich ganz zu lassen.‘“</w:t>
      </w:r>
      <w:r w:rsidRPr="0080160C">
        <w:rPr>
          <w:rStyle w:val="Funotenzeichen"/>
        </w:rPr>
        <w:footnoteReference w:id="42"/>
      </w:r>
    </w:p>
    <w:p w:rsidR="00B601E1" w:rsidRPr="0080160C" w:rsidRDefault="00B601E1" w:rsidP="00D87B79">
      <w:pPr>
        <w:spacing w:after="0"/>
        <w:jc w:val="both"/>
      </w:pPr>
      <w:r w:rsidRPr="0080160C">
        <w:t>Es ist klar ersichtlich, dass Löwith, seinem religiösen Bekenntnis nach ein Protestant, sich mit dieser Antwort identifiziert.</w:t>
      </w:r>
    </w:p>
    <w:p w:rsidR="00302FA4" w:rsidRDefault="00302FA4" w:rsidP="00D87B79">
      <w:pPr>
        <w:spacing w:after="0"/>
        <w:jc w:val="both"/>
        <w:rPr>
          <w:i/>
        </w:rPr>
      </w:pPr>
    </w:p>
    <w:p w:rsidR="000C4DA3" w:rsidRPr="000C4DA3" w:rsidRDefault="000C4DA3" w:rsidP="00D87B79">
      <w:pPr>
        <w:spacing w:after="0"/>
        <w:jc w:val="both"/>
        <w:rPr>
          <w:b/>
          <w:i/>
        </w:rPr>
      </w:pPr>
      <w:r>
        <w:rPr>
          <w:b/>
        </w:rPr>
        <w:t xml:space="preserve">Eva </w:t>
      </w:r>
      <w:proofErr w:type="spellStart"/>
      <w:r>
        <w:rPr>
          <w:b/>
        </w:rPr>
        <w:t>Wysbar</w:t>
      </w:r>
      <w:proofErr w:type="spellEnd"/>
      <w:r>
        <w:rPr>
          <w:b/>
        </w:rPr>
        <w:t xml:space="preserve">: </w:t>
      </w:r>
      <w:r>
        <w:rPr>
          <w:b/>
          <w:i/>
        </w:rPr>
        <w:t xml:space="preserve">„Hinaus aus Deutschland, </w:t>
      </w:r>
      <w:proofErr w:type="spellStart"/>
      <w:r>
        <w:rPr>
          <w:b/>
          <w:i/>
        </w:rPr>
        <w:t>igendwohin</w:t>
      </w:r>
      <w:proofErr w:type="spellEnd"/>
      <w:r>
        <w:rPr>
          <w:b/>
          <w:i/>
        </w:rPr>
        <w:t>…“</w:t>
      </w:r>
    </w:p>
    <w:p w:rsidR="004111D7" w:rsidRPr="0080160C" w:rsidRDefault="003F5DEA" w:rsidP="00D87B79">
      <w:pPr>
        <w:spacing w:after="0"/>
        <w:jc w:val="both"/>
      </w:pPr>
      <w:r w:rsidRPr="0080160C">
        <w:t xml:space="preserve">Das </w:t>
      </w:r>
      <w:r w:rsidRPr="0080160C">
        <w:rPr>
          <w:i/>
        </w:rPr>
        <w:t xml:space="preserve">Tagebuch </w:t>
      </w:r>
      <w:r w:rsidRPr="0080160C">
        <w:t xml:space="preserve">der Hertha </w:t>
      </w:r>
      <w:proofErr w:type="spellStart"/>
      <w:r w:rsidRPr="0080160C">
        <w:t>Nathorff</w:t>
      </w:r>
      <w:proofErr w:type="spellEnd"/>
      <w:r w:rsidRPr="0080160C">
        <w:t xml:space="preserve"> zeigt, </w:t>
      </w:r>
      <w:r w:rsidR="004111D7" w:rsidRPr="0080160C">
        <w:t>in welchem Ausmaß</w:t>
      </w:r>
      <w:r w:rsidRPr="0080160C">
        <w:t xml:space="preserve"> die nationalsozialistische „J</w:t>
      </w:r>
      <w:r w:rsidRPr="0080160C">
        <w:t>u</w:t>
      </w:r>
      <w:r w:rsidRPr="0080160C">
        <w:t xml:space="preserve">dengesetzgebung“ </w:t>
      </w:r>
      <w:r w:rsidR="00227D29" w:rsidRPr="0080160C">
        <w:t xml:space="preserve">in das </w:t>
      </w:r>
      <w:r w:rsidRPr="0080160C">
        <w:t xml:space="preserve">berufliche wie das </w:t>
      </w:r>
      <w:r w:rsidR="00227D29" w:rsidRPr="0080160C">
        <w:t>private Leben eingriff</w:t>
      </w:r>
      <w:r w:rsidR="004111D7" w:rsidRPr="0080160C">
        <w:t>.</w:t>
      </w:r>
      <w:r w:rsidR="00227D29" w:rsidRPr="0080160C">
        <w:t xml:space="preserve"> </w:t>
      </w:r>
      <w:r w:rsidR="004111D7" w:rsidRPr="0080160C">
        <w:t>Bei den jüdischen Techn</w:t>
      </w:r>
      <w:r w:rsidR="004111D7" w:rsidRPr="0080160C">
        <w:t>i</w:t>
      </w:r>
      <w:r w:rsidR="004111D7" w:rsidRPr="0080160C">
        <w:t>kern und Künstlern, die der Reichsfilmkammer unterstanden, war</w:t>
      </w:r>
      <w:r w:rsidR="002933F8" w:rsidRPr="0080160C">
        <w:t xml:space="preserve"> das in noch stärkerem Maße der Fall.</w:t>
      </w:r>
      <w:r w:rsidR="004111D7" w:rsidRPr="0080160C">
        <w:t xml:space="preserve"> Der Grund dazu war</w:t>
      </w:r>
      <w:r w:rsidR="002933F8" w:rsidRPr="0080160C">
        <w:t xml:space="preserve">en die Möglichkeiten bei der </w:t>
      </w:r>
      <w:r w:rsidR="004111D7" w:rsidRPr="0080160C">
        <w:t xml:space="preserve">der </w:t>
      </w:r>
      <w:r w:rsidR="002933F8" w:rsidRPr="0080160C">
        <w:t xml:space="preserve">Umsetzung der Gesetze, die der </w:t>
      </w:r>
      <w:r w:rsidR="000E745F" w:rsidRPr="0080160C">
        <w:t>institutionelle Rahmen</w:t>
      </w:r>
      <w:r w:rsidR="002933F8" w:rsidRPr="0080160C">
        <w:t xml:space="preserve"> bot</w:t>
      </w:r>
      <w:r w:rsidR="004111D7" w:rsidRPr="0080160C">
        <w:t>: das Reichsministerium für Volksaufklärung und Propaganda und d</w:t>
      </w:r>
      <w:r w:rsidR="002933F8" w:rsidRPr="0080160C">
        <w:t>i</w:t>
      </w:r>
      <w:r w:rsidR="004111D7" w:rsidRPr="0080160C">
        <w:t xml:space="preserve">e </w:t>
      </w:r>
      <w:r w:rsidR="002933F8" w:rsidRPr="0080160C">
        <w:t xml:space="preserve">Persönlichkeit des </w:t>
      </w:r>
      <w:r w:rsidR="004111D7" w:rsidRPr="0080160C">
        <w:t>zuständige</w:t>
      </w:r>
      <w:r w:rsidR="002933F8" w:rsidRPr="0080160C">
        <w:t>n</w:t>
      </w:r>
      <w:r w:rsidR="004111D7" w:rsidRPr="0080160C">
        <w:t xml:space="preserve"> Minister</w:t>
      </w:r>
      <w:r w:rsidR="002933F8" w:rsidRPr="0080160C">
        <w:t xml:space="preserve"> </w:t>
      </w:r>
      <w:r w:rsidR="004111D7" w:rsidRPr="0080160C">
        <w:t xml:space="preserve">Joseph Goebbels. </w:t>
      </w:r>
      <w:r w:rsidR="000E06C5" w:rsidRPr="0080160C">
        <w:t xml:space="preserve">Der </w:t>
      </w:r>
      <w:r w:rsidR="004111D7" w:rsidRPr="0080160C">
        <w:t>politische Ehrgeiz des M</w:t>
      </w:r>
      <w:r w:rsidR="004111D7" w:rsidRPr="0080160C">
        <w:t>i</w:t>
      </w:r>
      <w:r w:rsidR="004111D7" w:rsidRPr="0080160C">
        <w:t>nisters</w:t>
      </w:r>
      <w:r w:rsidR="002933F8" w:rsidRPr="0080160C">
        <w:t xml:space="preserve"> und</w:t>
      </w:r>
      <w:r w:rsidR="004111D7" w:rsidRPr="0080160C">
        <w:t xml:space="preserve"> </w:t>
      </w:r>
      <w:r w:rsidR="000E06C5" w:rsidRPr="0080160C">
        <w:t>d</w:t>
      </w:r>
      <w:r w:rsidR="002933F8" w:rsidRPr="0080160C">
        <w:t>ie juristische</w:t>
      </w:r>
      <w:r w:rsidR="004111D7" w:rsidRPr="0080160C">
        <w:t xml:space="preserve"> </w:t>
      </w:r>
      <w:r w:rsidR="002933F8" w:rsidRPr="0080160C">
        <w:t>Kompetenz</w:t>
      </w:r>
      <w:r w:rsidR="000B0E9F" w:rsidRPr="0080160C">
        <w:t xml:space="preserve"> </w:t>
      </w:r>
      <w:r w:rsidR="001D3A03" w:rsidRPr="0080160C">
        <w:t>s</w:t>
      </w:r>
      <w:r w:rsidR="000B0E9F" w:rsidRPr="0080160C">
        <w:t>einer Mitarbeiter</w:t>
      </w:r>
      <w:r w:rsidR="001044CF" w:rsidRPr="0080160C">
        <w:t xml:space="preserve"> </w:t>
      </w:r>
      <w:r w:rsidR="000B0E9F" w:rsidRPr="0080160C">
        <w:t>gestalteten das Leben der Betroff</w:t>
      </w:r>
      <w:r w:rsidR="000B0E9F" w:rsidRPr="0080160C">
        <w:t>e</w:t>
      </w:r>
      <w:r w:rsidR="000B0E9F" w:rsidRPr="0080160C">
        <w:t>nen zu einem wahren Martyrium.</w:t>
      </w:r>
    </w:p>
    <w:p w:rsidR="00460337" w:rsidRPr="0080160C" w:rsidRDefault="001044CF" w:rsidP="00D87B79">
      <w:pPr>
        <w:spacing w:after="0"/>
        <w:ind w:firstLine="708"/>
        <w:jc w:val="both"/>
      </w:pPr>
      <w:r w:rsidRPr="0080160C">
        <w:lastRenderedPageBreak/>
        <w:t xml:space="preserve">Der Film, insbesondere der Unterhaltungsfilm, spielte </w:t>
      </w:r>
      <w:r w:rsidR="001D3A03" w:rsidRPr="0080160C">
        <w:t>innerhalb des nationalsozialist</w:t>
      </w:r>
      <w:r w:rsidR="001D3A03" w:rsidRPr="0080160C">
        <w:t>i</w:t>
      </w:r>
      <w:r w:rsidR="001D3A03" w:rsidRPr="0080160C">
        <w:t>schen Systems von Politik, politischer Beeinflussung und Unterhaltung</w:t>
      </w:r>
      <w:r w:rsidRPr="0080160C">
        <w:t xml:space="preserve"> eine zentrale Rolle</w:t>
      </w:r>
      <w:r w:rsidR="001D3A03" w:rsidRPr="0080160C">
        <w:t xml:space="preserve">. </w:t>
      </w:r>
      <w:r w:rsidRPr="0080160C">
        <w:t>Er</w:t>
      </w:r>
      <w:r w:rsidR="000B0E9F" w:rsidRPr="0080160C">
        <w:t xml:space="preserve"> war vermutlich</w:t>
      </w:r>
      <w:r w:rsidRPr="0080160C">
        <w:t xml:space="preserve"> das</w:t>
      </w:r>
      <w:r w:rsidR="000B0E9F" w:rsidRPr="0080160C">
        <w:t xml:space="preserve"> wi</w:t>
      </w:r>
      <w:r w:rsidRPr="0080160C">
        <w:t>chtig</w:t>
      </w:r>
      <w:r w:rsidR="000B0E9F" w:rsidRPr="0080160C">
        <w:t>ste Propagandainstrument</w:t>
      </w:r>
      <w:r w:rsidR="00460337" w:rsidRPr="0080160C">
        <w:t xml:space="preserve">. </w:t>
      </w:r>
      <w:r w:rsidRPr="0080160C">
        <w:t>Der Film war das „Medium, das die Herzen eroberte“.</w:t>
      </w:r>
      <w:r w:rsidRPr="0080160C">
        <w:rPr>
          <w:rStyle w:val="Funotenzeichen"/>
        </w:rPr>
        <w:footnoteReference w:id="43"/>
      </w:r>
      <w:r w:rsidRPr="0080160C">
        <w:t xml:space="preserve"> </w:t>
      </w:r>
      <w:r w:rsidR="000B0E9F" w:rsidRPr="0080160C">
        <w:t xml:space="preserve">Wie Hitler war </w:t>
      </w:r>
      <w:r w:rsidR="00460337" w:rsidRPr="0080160C">
        <w:t>Goebbels</w:t>
      </w:r>
      <w:r w:rsidR="000B0E9F" w:rsidRPr="0080160C">
        <w:t xml:space="preserve"> ein Filmenthusiast. Er</w:t>
      </w:r>
      <w:r w:rsidR="00460337" w:rsidRPr="0080160C">
        <w:t xml:space="preserve"> identifiziert</w:t>
      </w:r>
      <w:r w:rsidR="009A4561" w:rsidRPr="0080160C">
        <w:t>e</w:t>
      </w:r>
      <w:r w:rsidR="00460337" w:rsidRPr="0080160C">
        <w:t xml:space="preserve"> sich mit der </w:t>
      </w:r>
      <w:r w:rsidR="000B0E9F" w:rsidRPr="0080160C">
        <w:t>filmischen P</w:t>
      </w:r>
      <w:r w:rsidR="00460337" w:rsidRPr="0080160C">
        <w:t>roduktion</w:t>
      </w:r>
      <w:r w:rsidR="009A4561" w:rsidRPr="0080160C">
        <w:t>,</w:t>
      </w:r>
      <w:r w:rsidR="000B0E9F" w:rsidRPr="0080160C">
        <w:t xml:space="preserve"> die seinem Ministerium unterstellt war, las regelmäßig die Drehbücher und suchte persönlich die Regisseure und Darsteller aus. </w:t>
      </w:r>
      <w:r w:rsidR="000E06C5" w:rsidRPr="0080160C">
        <w:t>I</w:t>
      </w:r>
      <w:r w:rsidR="000B0E9F" w:rsidRPr="0080160C">
        <w:t>n den Illustrierten</w:t>
      </w:r>
      <w:r w:rsidR="000068BE" w:rsidRPr="0080160C">
        <w:t xml:space="preserve"> gehörten Fotos</w:t>
      </w:r>
      <w:r w:rsidR="000B0E9F" w:rsidRPr="0080160C">
        <w:t xml:space="preserve">, </w:t>
      </w:r>
      <w:r w:rsidR="000068BE" w:rsidRPr="0080160C">
        <w:t>die</w:t>
      </w:r>
      <w:r w:rsidR="000B0E9F" w:rsidRPr="0080160C">
        <w:t xml:space="preserve"> Hitler oder Goebbels bei</w:t>
      </w:r>
      <w:r w:rsidR="000068BE" w:rsidRPr="0080160C">
        <w:t>m</w:t>
      </w:r>
      <w:r w:rsidR="000B0E9F" w:rsidRPr="0080160C">
        <w:t xml:space="preserve"> Tee in persönlichem, vertrautem Gespräch mit den Stars aus Film und Theater zeig</w:t>
      </w:r>
      <w:r w:rsidR="000E06C5" w:rsidRPr="0080160C">
        <w:t>t</w:t>
      </w:r>
      <w:r w:rsidR="000B0E9F" w:rsidRPr="0080160C">
        <w:t>en, zum täglichen Erscheinungsbild.</w:t>
      </w:r>
      <w:r w:rsidR="000B0E9F" w:rsidRPr="0080160C">
        <w:rPr>
          <w:rStyle w:val="Funotenzeichen"/>
        </w:rPr>
        <w:footnoteReference w:id="44"/>
      </w:r>
      <w:r w:rsidR="000068BE" w:rsidRPr="0080160C">
        <w:t xml:space="preserve"> </w:t>
      </w:r>
      <w:r w:rsidRPr="0080160C">
        <w:t xml:space="preserve">Bestimmend waren jedoch nicht nur propagandistische Erwägungen. </w:t>
      </w:r>
      <w:r w:rsidR="00460337" w:rsidRPr="0080160C">
        <w:t xml:space="preserve">Die Filmindustrie </w:t>
      </w:r>
      <w:r w:rsidR="009A4561" w:rsidRPr="0080160C">
        <w:t>war</w:t>
      </w:r>
      <w:r w:rsidR="00460337" w:rsidRPr="0080160C">
        <w:t xml:space="preserve"> </w:t>
      </w:r>
      <w:r w:rsidRPr="0080160C">
        <w:t xml:space="preserve">auch </w:t>
      </w:r>
      <w:r w:rsidR="00460337" w:rsidRPr="0080160C">
        <w:t xml:space="preserve">ein </w:t>
      </w:r>
      <w:r w:rsidR="000068BE" w:rsidRPr="0080160C">
        <w:t xml:space="preserve">eminent wichtiger </w:t>
      </w:r>
      <w:r w:rsidR="00460337" w:rsidRPr="0080160C">
        <w:t>wir</w:t>
      </w:r>
      <w:r w:rsidR="00460337" w:rsidRPr="0080160C">
        <w:t>t</w:t>
      </w:r>
      <w:r w:rsidR="00460337" w:rsidRPr="0080160C">
        <w:t>schaftlicher</w:t>
      </w:r>
      <w:r w:rsidR="000068BE" w:rsidRPr="0080160C">
        <w:t xml:space="preserve"> </w:t>
      </w:r>
      <w:r w:rsidR="00460337" w:rsidRPr="0080160C">
        <w:t xml:space="preserve">Faktor. </w:t>
      </w:r>
      <w:r w:rsidR="000068BE" w:rsidRPr="0080160C">
        <w:t>Das war in einer Zeit, in der die Devisen knapp waren, ein Argument, das keineswegs negiert werden durfte.</w:t>
      </w:r>
    </w:p>
    <w:p w:rsidR="00460337" w:rsidRPr="0080160C" w:rsidRDefault="00460337" w:rsidP="00D87B79">
      <w:pPr>
        <w:spacing w:after="0"/>
        <w:ind w:firstLine="708"/>
        <w:jc w:val="both"/>
      </w:pPr>
      <w:r w:rsidRPr="0080160C">
        <w:t xml:space="preserve">Das Problem, mit dem Goebbels nach </w:t>
      </w:r>
      <w:r w:rsidR="000E06C5" w:rsidRPr="0080160C">
        <w:t>sein</w:t>
      </w:r>
      <w:r w:rsidRPr="0080160C">
        <w:t>er Ernennung zum Minister für Volksau</w:t>
      </w:r>
      <w:r w:rsidRPr="0080160C">
        <w:t>f</w:t>
      </w:r>
      <w:r w:rsidRPr="0080160C">
        <w:t xml:space="preserve">klärung und Propaganda konfrontiert war, bestand darin, dass ein Großteil der Spezialisten in den Ateliers und Produktionsanstalten jüdischer Herkunft war. </w:t>
      </w:r>
      <w:r w:rsidR="000E06C5" w:rsidRPr="0080160C">
        <w:t>Von ihnen</w:t>
      </w:r>
      <w:r w:rsidRPr="0080160C">
        <w:t xml:space="preserve"> hatte </w:t>
      </w:r>
      <w:r w:rsidR="001044CF" w:rsidRPr="0080160C">
        <w:t>ein erhebl</w:t>
      </w:r>
      <w:r w:rsidR="001044CF" w:rsidRPr="0080160C">
        <w:t>i</w:t>
      </w:r>
      <w:r w:rsidR="001044CF" w:rsidRPr="0080160C">
        <w:t xml:space="preserve">cher Teil </w:t>
      </w:r>
      <w:r w:rsidR="000E06C5" w:rsidRPr="0080160C">
        <w:t xml:space="preserve">nach dem Machtantritt der Nationalsozialisten </w:t>
      </w:r>
      <w:r w:rsidRPr="0080160C">
        <w:t xml:space="preserve">Deutschland </w:t>
      </w:r>
      <w:r w:rsidR="001044CF" w:rsidRPr="0080160C">
        <w:t xml:space="preserve">bereits </w:t>
      </w:r>
      <w:r w:rsidRPr="0080160C">
        <w:t xml:space="preserve">verlassen. Um eine Filmproduktion aufrecht zu erhalten, die mit den in Hollywood entstehenden Filmen konkurrieren konnte, war Goebbels deshalb genötigt, Zugeständnisse </w:t>
      </w:r>
      <w:r w:rsidR="001044CF" w:rsidRPr="0080160C">
        <w:t xml:space="preserve">bei der Anwendung der Judengesetzgebung </w:t>
      </w:r>
      <w:r w:rsidRPr="0080160C">
        <w:t xml:space="preserve">zu machen. </w:t>
      </w:r>
      <w:r w:rsidR="000E06C5" w:rsidRPr="0080160C">
        <w:t xml:space="preserve">Wie </w:t>
      </w:r>
      <w:r w:rsidR="001044CF" w:rsidRPr="0080160C">
        <w:t>für das</w:t>
      </w:r>
      <w:r w:rsidR="000E06C5" w:rsidRPr="0080160C">
        <w:t xml:space="preserve"> Theaters, </w:t>
      </w:r>
      <w:r w:rsidR="000941E8" w:rsidRPr="0080160C">
        <w:t xml:space="preserve">das als Instrument der </w:t>
      </w:r>
      <w:r w:rsidR="001044CF" w:rsidRPr="0080160C">
        <w:t>ästhetisch</w:t>
      </w:r>
      <w:r w:rsidR="00C7233D" w:rsidRPr="0080160C">
        <w:t xml:space="preserve"> </w:t>
      </w:r>
      <w:r w:rsidR="000941E8" w:rsidRPr="0080160C">
        <w:t>verkl</w:t>
      </w:r>
      <w:r w:rsidR="000941E8" w:rsidRPr="0080160C">
        <w:t>ä</w:t>
      </w:r>
      <w:r w:rsidR="000941E8" w:rsidRPr="0080160C">
        <w:t xml:space="preserve">renden Präsentation der Diktatur fast ebenso wichtig war wie der Film, </w:t>
      </w:r>
      <w:r w:rsidRPr="0080160C">
        <w:t xml:space="preserve">wurden </w:t>
      </w:r>
      <w:r w:rsidR="00AE5AB5" w:rsidRPr="0080160C">
        <w:t>deshalb</w:t>
      </w:r>
      <w:r w:rsidRPr="0080160C">
        <w:t xml:space="preserve"> für </w:t>
      </w:r>
      <w:r w:rsidR="00AE5AB5" w:rsidRPr="0080160C">
        <w:t>einen Teil der</w:t>
      </w:r>
      <w:r w:rsidRPr="0080160C">
        <w:t xml:space="preserve"> „jüdischen“, „halbjüdischen“ und „jüdisch versippten“ Regisseure, Schauspi</w:t>
      </w:r>
      <w:r w:rsidRPr="0080160C">
        <w:t>e</w:t>
      </w:r>
      <w:r w:rsidRPr="0080160C">
        <w:t>ler, Drehbuchautoren, Kameraleute und anderen Spezialisten zeitlich begrenzte</w:t>
      </w:r>
      <w:r w:rsidR="00C7233D" w:rsidRPr="0080160C">
        <w:t>,</w:t>
      </w:r>
      <w:r w:rsidRPr="0080160C">
        <w:t xml:space="preserve"> </w:t>
      </w:r>
      <w:r w:rsidR="00AE5AB5" w:rsidRPr="0080160C">
        <w:t>„</w:t>
      </w:r>
      <w:r w:rsidRPr="0080160C">
        <w:t>jederzeit widerrufliche</w:t>
      </w:r>
      <w:r w:rsidR="00AE5AB5" w:rsidRPr="0080160C">
        <w:t>“</w:t>
      </w:r>
      <w:r w:rsidRPr="0080160C">
        <w:t xml:space="preserve"> Sondergenehmigungen erteilt.</w:t>
      </w:r>
      <w:r w:rsidRPr="0080160C">
        <w:rPr>
          <w:rStyle w:val="Funotenzeichen"/>
        </w:rPr>
        <w:footnoteReference w:id="45"/>
      </w:r>
      <w:r w:rsidRPr="0080160C">
        <w:t xml:space="preserve"> D</w:t>
      </w:r>
      <w:r w:rsidR="00C7233D" w:rsidRPr="0080160C">
        <w:t xml:space="preserve">iese Sondergenehmigungen waren </w:t>
      </w:r>
      <w:r w:rsidRPr="0080160C">
        <w:t xml:space="preserve">jedoch </w:t>
      </w:r>
      <w:r w:rsidR="00C7233D" w:rsidRPr="0080160C">
        <w:t xml:space="preserve">keine </w:t>
      </w:r>
      <w:r w:rsidR="000941E8" w:rsidRPr="0080160C">
        <w:t>tatsächliche</w:t>
      </w:r>
      <w:r w:rsidR="00C7233D" w:rsidRPr="0080160C">
        <w:t>n</w:t>
      </w:r>
      <w:r w:rsidRPr="0080160C">
        <w:t xml:space="preserve"> Konzessionen. Goebbels, </w:t>
      </w:r>
      <w:r w:rsidR="00AE5AB5" w:rsidRPr="0080160C">
        <w:t xml:space="preserve">vermutlich der neben Hitler </w:t>
      </w:r>
      <w:r w:rsidR="00C7233D" w:rsidRPr="0080160C">
        <w:t xml:space="preserve">und Streicher </w:t>
      </w:r>
      <w:r w:rsidR="00AE5AB5" w:rsidRPr="0080160C">
        <w:t>v</w:t>
      </w:r>
      <w:r w:rsidR="00AE5AB5" w:rsidRPr="0080160C">
        <w:t>e</w:t>
      </w:r>
      <w:r w:rsidR="00AE5AB5" w:rsidRPr="0080160C">
        <w:t xml:space="preserve">hementeste Antisemit </w:t>
      </w:r>
      <w:r w:rsidR="000941E8" w:rsidRPr="0080160C">
        <w:t>im Kreis der inneren Führung der NSDAP</w:t>
      </w:r>
      <w:r w:rsidRPr="0080160C">
        <w:t xml:space="preserve">, verknüpfte in </w:t>
      </w:r>
      <w:r w:rsidR="000941E8" w:rsidRPr="0080160C">
        <w:t>solch</w:t>
      </w:r>
      <w:r w:rsidRPr="0080160C">
        <w:t xml:space="preserve">en Fällen Nachgiebigkeit mit massivem Druck. </w:t>
      </w:r>
      <w:r w:rsidR="00C7233D" w:rsidRPr="0080160C">
        <w:t>Er schuf ein System von Abhängigkeiten, das letzten</w:t>
      </w:r>
      <w:r w:rsidR="00C7233D" w:rsidRPr="0080160C">
        <w:t>d</w:t>
      </w:r>
      <w:r w:rsidR="00C7233D" w:rsidRPr="0080160C">
        <w:t>lich einzig dem Zweck diente, die Filmindustrie „judenrein“ zu machen. Im Zentrum stand das Scheidungsverlangen</w:t>
      </w:r>
      <w:r w:rsidR="00FE1C4B" w:rsidRPr="0080160C">
        <w:t>:</w:t>
      </w:r>
      <w:r w:rsidR="00C7233D" w:rsidRPr="0080160C">
        <w:t xml:space="preserve"> Weiterbeschäftigung und Rollenvergabe wurden mit dieser Ford</w:t>
      </w:r>
      <w:r w:rsidR="00C7233D" w:rsidRPr="0080160C">
        <w:t>e</w:t>
      </w:r>
      <w:r w:rsidR="00C7233D" w:rsidRPr="0080160C">
        <w:t xml:space="preserve">rung verknüpft. </w:t>
      </w:r>
      <w:r w:rsidRPr="0080160C">
        <w:t>Die Belastungen</w:t>
      </w:r>
      <w:r w:rsidR="00FE1C4B" w:rsidRPr="0080160C">
        <w:t>, die daraus resultierten, waren</w:t>
      </w:r>
      <w:r w:rsidR="00C7233D" w:rsidRPr="0080160C">
        <w:t xml:space="preserve"> für die Betroffenen</w:t>
      </w:r>
      <w:r w:rsidRPr="0080160C">
        <w:t xml:space="preserve"> derart </w:t>
      </w:r>
      <w:r w:rsidR="00C7233D" w:rsidRPr="0080160C">
        <w:t>groß</w:t>
      </w:r>
      <w:proofErr w:type="gramStart"/>
      <w:r w:rsidRPr="0080160C">
        <w:t>,</w:t>
      </w:r>
      <w:proofErr w:type="gramEnd"/>
      <w:r w:rsidR="00A8035C" w:rsidRPr="0080160C">
        <w:rPr>
          <w:rStyle w:val="Funotenzeichen"/>
        </w:rPr>
        <w:t xml:space="preserve"> </w:t>
      </w:r>
      <w:r w:rsidRPr="0080160C">
        <w:t xml:space="preserve">dass </w:t>
      </w:r>
      <w:r w:rsidR="00776B68" w:rsidRPr="0080160C">
        <w:t>einige</w:t>
      </w:r>
      <w:r w:rsidR="00C7233D" w:rsidRPr="0080160C">
        <w:t xml:space="preserve"> im</w:t>
      </w:r>
      <w:r w:rsidR="00AE5AB5" w:rsidRPr="0080160C">
        <w:t xml:space="preserve"> Freitod </w:t>
      </w:r>
      <w:r w:rsidR="00C7233D" w:rsidRPr="0080160C">
        <w:t>den</w:t>
      </w:r>
      <w:r w:rsidR="00AE5AB5" w:rsidRPr="0080160C">
        <w:t xml:space="preserve"> einzigen Ausweg sahen</w:t>
      </w:r>
      <w:r w:rsidRPr="0080160C">
        <w:t>.</w:t>
      </w:r>
      <w:r w:rsidR="00AE5AB5" w:rsidRPr="0080160C">
        <w:rPr>
          <w:rStyle w:val="Funotenzeichen"/>
        </w:rPr>
        <w:t xml:space="preserve"> </w:t>
      </w:r>
      <w:r w:rsidR="00AE5AB5" w:rsidRPr="0080160C">
        <w:rPr>
          <w:rStyle w:val="Funotenzeichen"/>
        </w:rPr>
        <w:footnoteReference w:id="46"/>
      </w:r>
      <w:r w:rsidR="00AE5AB5" w:rsidRPr="0080160C">
        <w:t xml:space="preserve"> </w:t>
      </w:r>
      <w:r w:rsidR="00C7233D" w:rsidRPr="0080160C">
        <w:t xml:space="preserve">Ein Teil </w:t>
      </w:r>
      <w:r w:rsidR="00776B68" w:rsidRPr="0080160C">
        <w:t>willigte in die Scheidung erst ein</w:t>
      </w:r>
      <w:r w:rsidR="00AE5AB5" w:rsidRPr="0080160C">
        <w:t xml:space="preserve">, </w:t>
      </w:r>
      <w:r w:rsidR="00776B68" w:rsidRPr="0080160C">
        <w:t xml:space="preserve">wenn der </w:t>
      </w:r>
      <w:r w:rsidR="00AE5AB5" w:rsidRPr="0080160C">
        <w:t xml:space="preserve">jüdische Partner </w:t>
      </w:r>
      <w:r w:rsidR="00776B68" w:rsidRPr="0080160C">
        <w:t>sich im Ausland in Sicherheit befand</w:t>
      </w:r>
      <w:r w:rsidR="00AE5AB5" w:rsidRPr="0080160C">
        <w:t>.</w:t>
      </w:r>
      <w:r w:rsidRPr="0080160C">
        <w:t xml:space="preserve"> </w:t>
      </w:r>
      <w:r w:rsidR="00776B68" w:rsidRPr="0080160C">
        <w:t xml:space="preserve">Doch das waren Ausnahmen, Zeichen von Integrität und Mut. </w:t>
      </w:r>
      <w:r w:rsidR="009B343F" w:rsidRPr="0080160C">
        <w:t xml:space="preserve">Mit Formulierungen, dass die Ehe </w:t>
      </w:r>
      <w:r w:rsidR="00776B68" w:rsidRPr="0080160C">
        <w:t>„</w:t>
      </w:r>
      <w:r w:rsidR="000941E8" w:rsidRPr="0080160C">
        <w:t xml:space="preserve">ohnehin </w:t>
      </w:r>
      <w:r w:rsidR="009B343F" w:rsidRPr="0080160C">
        <w:t xml:space="preserve">bereits seit längerem </w:t>
      </w:r>
      <w:r w:rsidR="000941E8" w:rsidRPr="0080160C">
        <w:t xml:space="preserve">keinen </w:t>
      </w:r>
      <w:r w:rsidR="009B343F" w:rsidRPr="0080160C">
        <w:t xml:space="preserve">Bestand </w:t>
      </w:r>
      <w:r w:rsidR="000941E8" w:rsidRPr="0080160C">
        <w:t xml:space="preserve">mehr </w:t>
      </w:r>
      <w:r w:rsidR="009B343F" w:rsidRPr="0080160C">
        <w:t>gehabt habe</w:t>
      </w:r>
      <w:r w:rsidR="00776B68" w:rsidRPr="0080160C">
        <w:t>“</w:t>
      </w:r>
      <w:r w:rsidR="009B343F" w:rsidRPr="0080160C">
        <w:t xml:space="preserve">, wurden </w:t>
      </w:r>
      <w:r w:rsidR="00AE5AB5" w:rsidRPr="0080160C">
        <w:t>di</w:t>
      </w:r>
      <w:r w:rsidR="009B343F" w:rsidRPr="0080160C">
        <w:t>e</w:t>
      </w:r>
      <w:r w:rsidR="00776B68" w:rsidRPr="0080160C">
        <w:t xml:space="preserve"> meisten erzwungenen</w:t>
      </w:r>
      <w:r w:rsidR="009B343F" w:rsidRPr="0080160C">
        <w:t xml:space="preserve"> Scheidungen </w:t>
      </w:r>
      <w:r w:rsidR="00AE5AB5" w:rsidRPr="0080160C">
        <w:t xml:space="preserve">später </w:t>
      </w:r>
      <w:r w:rsidR="009B343F" w:rsidRPr="0080160C">
        <w:t>kaschiert. Sie finden in der Memoirenliteratur deshalb auch nur am Rande Erwähnung.</w:t>
      </w:r>
    </w:p>
    <w:p w:rsidR="00340099" w:rsidRPr="0080160C" w:rsidRDefault="00460337" w:rsidP="00D87B79">
      <w:pPr>
        <w:spacing w:after="0"/>
        <w:ind w:firstLine="708"/>
        <w:jc w:val="both"/>
      </w:pPr>
      <w:r w:rsidRPr="0080160C">
        <w:t xml:space="preserve">Sondergenehmigungen mussten von </w:t>
      </w:r>
      <w:r w:rsidR="000941E8" w:rsidRPr="0080160C">
        <w:t xml:space="preserve">den Produktionsfirmen, von den Regisseuren oder von anderen </w:t>
      </w:r>
      <w:r w:rsidRPr="0080160C">
        <w:t>einflussreichen Persönlichkeiten bei der Reichsfilmkammer beantragt werden.</w:t>
      </w:r>
      <w:r w:rsidR="000941E8" w:rsidRPr="0080160C">
        <w:t xml:space="preserve"> Es gab </w:t>
      </w:r>
      <w:r w:rsidR="002B248F" w:rsidRPr="0080160C">
        <w:t xml:space="preserve">einzelne </w:t>
      </w:r>
      <w:r w:rsidR="000941E8" w:rsidRPr="0080160C">
        <w:t>Fürsprecher</w:t>
      </w:r>
      <w:r w:rsidR="00340099" w:rsidRPr="0080160C">
        <w:t xml:space="preserve"> in Hitlers Umfeld</w:t>
      </w:r>
      <w:r w:rsidR="002B248F" w:rsidRPr="0080160C">
        <w:t xml:space="preserve">, Künstlerinnen </w:t>
      </w:r>
      <w:r w:rsidR="00340099" w:rsidRPr="0080160C">
        <w:t xml:space="preserve">wie </w:t>
      </w:r>
      <w:r w:rsidR="002B248F" w:rsidRPr="0080160C">
        <w:t xml:space="preserve">z.B. </w:t>
      </w:r>
      <w:r w:rsidR="00340099" w:rsidRPr="0080160C">
        <w:t xml:space="preserve">Käthe Dorsch, die </w:t>
      </w:r>
      <w:r w:rsidR="002B248F" w:rsidRPr="0080160C">
        <w:t>pe</w:t>
      </w:r>
      <w:r w:rsidR="002B248F" w:rsidRPr="0080160C">
        <w:t>r</w:t>
      </w:r>
      <w:r w:rsidR="002B248F" w:rsidRPr="0080160C">
        <w:t>sönlich bei Hitler für die Betroffenen intervenierten</w:t>
      </w:r>
      <w:r w:rsidR="00340099" w:rsidRPr="0080160C">
        <w:t xml:space="preserve">. </w:t>
      </w:r>
      <w:r w:rsidRPr="0080160C">
        <w:t>Es musste also zunächst jemand persö</w:t>
      </w:r>
      <w:r w:rsidRPr="0080160C">
        <w:t>n</w:t>
      </w:r>
      <w:r w:rsidRPr="0080160C">
        <w:t xml:space="preserve">lich </w:t>
      </w:r>
      <w:r w:rsidR="00FE1C4B" w:rsidRPr="0080160C">
        <w:t xml:space="preserve">sich </w:t>
      </w:r>
      <w:r w:rsidRPr="0080160C">
        <w:t xml:space="preserve">exponieren </w:t>
      </w:r>
      <w:r w:rsidR="002B248F" w:rsidRPr="0080160C">
        <w:t>oder</w:t>
      </w:r>
      <w:r w:rsidRPr="0080160C">
        <w:t xml:space="preserve"> für die entsprechende Person verbürgen</w:t>
      </w:r>
      <w:r w:rsidR="00340099" w:rsidRPr="0080160C">
        <w:t>, damit der Prozess zur E</w:t>
      </w:r>
      <w:r w:rsidR="00340099" w:rsidRPr="0080160C">
        <w:t>r</w:t>
      </w:r>
      <w:r w:rsidR="00340099" w:rsidRPr="0080160C">
        <w:lastRenderedPageBreak/>
        <w:t>teilung einer Sondergenehmigung überhaupt eingeleitet wurde</w:t>
      </w:r>
      <w:r w:rsidRPr="0080160C">
        <w:t xml:space="preserve">. Die Erteilung </w:t>
      </w:r>
      <w:r w:rsidR="000941E8" w:rsidRPr="0080160C">
        <w:t>selber</w:t>
      </w:r>
      <w:r w:rsidRPr="0080160C">
        <w:t xml:space="preserve"> kam e</w:t>
      </w:r>
      <w:r w:rsidRPr="0080160C">
        <w:t>i</w:t>
      </w:r>
      <w:r w:rsidRPr="0080160C">
        <w:t>nem Gnadenerweis gleich. Sie war an strikte Auflage</w:t>
      </w:r>
      <w:r w:rsidR="00AE5AB5" w:rsidRPr="0080160C">
        <w:t>n</w:t>
      </w:r>
      <w:r w:rsidRPr="0080160C">
        <w:t xml:space="preserve"> gebunden</w:t>
      </w:r>
      <w:r w:rsidR="00340099" w:rsidRPr="0080160C">
        <w:t xml:space="preserve">, </w:t>
      </w:r>
      <w:r w:rsidR="002B248F" w:rsidRPr="0080160C">
        <w:t>die</w:t>
      </w:r>
      <w:r w:rsidR="00340099" w:rsidRPr="0080160C">
        <w:t xml:space="preserve"> die so Begünstigten </w:t>
      </w:r>
      <w:r w:rsidR="007B2B9A" w:rsidRPr="0080160C">
        <w:t>ständige</w:t>
      </w:r>
      <w:r w:rsidR="002B248F" w:rsidRPr="0080160C">
        <w:t>r</w:t>
      </w:r>
      <w:r w:rsidR="007B2B9A" w:rsidRPr="0080160C">
        <w:t xml:space="preserve"> Kontrolle und damit </w:t>
      </w:r>
      <w:r w:rsidR="00340099" w:rsidRPr="0080160C">
        <w:t xml:space="preserve">permanenter </w:t>
      </w:r>
      <w:r w:rsidR="007B2B9A" w:rsidRPr="0080160C">
        <w:t xml:space="preserve">Willkür </w:t>
      </w:r>
      <w:r w:rsidR="00340099" w:rsidRPr="0080160C">
        <w:t>aussetzten</w:t>
      </w:r>
      <w:r w:rsidRPr="0080160C">
        <w:t xml:space="preserve">. </w:t>
      </w:r>
      <w:r w:rsidR="007B2B9A" w:rsidRPr="0080160C">
        <w:t xml:space="preserve">Der Versuch, dem Verlangen nach Scheidung </w:t>
      </w:r>
      <w:r w:rsidR="002B248F" w:rsidRPr="0080160C">
        <w:t xml:space="preserve">nur der Form halber </w:t>
      </w:r>
      <w:r w:rsidR="007B2B9A" w:rsidRPr="0080160C">
        <w:t>zu entsprechen, die Ehe in Wirklichkeit jedoch fortz</w:t>
      </w:r>
      <w:r w:rsidR="007B2B9A" w:rsidRPr="0080160C">
        <w:t>u</w:t>
      </w:r>
      <w:r w:rsidR="007B2B9A" w:rsidRPr="0080160C">
        <w:t>setzen, war de facto kaum möglich. Dazu war die Gefahr der Denunziation zu groß.</w:t>
      </w:r>
      <w:r w:rsidR="002B248F" w:rsidRPr="0080160C">
        <w:t xml:space="preserve"> Es genü</w:t>
      </w:r>
      <w:r w:rsidR="002B248F" w:rsidRPr="0080160C">
        <w:t>g</w:t>
      </w:r>
      <w:r w:rsidR="002B248F" w:rsidRPr="0080160C">
        <w:t xml:space="preserve">te, dass ein Jude und eine „Arierin“ sich im selben Raum aufhielten, damit </w:t>
      </w:r>
      <w:r w:rsidR="007B2B9A" w:rsidRPr="0080160C">
        <w:t xml:space="preserve">Anklage </w:t>
      </w:r>
      <w:r w:rsidR="002B248F" w:rsidRPr="0080160C">
        <w:t>wegen Verdachts der</w:t>
      </w:r>
      <w:r w:rsidR="007B2B9A" w:rsidRPr="0080160C">
        <w:t xml:space="preserve"> „Rassenschande“ </w:t>
      </w:r>
      <w:r w:rsidR="002B248F" w:rsidRPr="0080160C">
        <w:t>erhoben wurde. Die</w:t>
      </w:r>
      <w:r w:rsidR="007B2B9A" w:rsidRPr="0080160C">
        <w:t xml:space="preserve"> Strafen, die</w:t>
      </w:r>
      <w:r w:rsidR="002B248F" w:rsidRPr="0080160C">
        <w:t xml:space="preserve"> dafür verhängt wurden, reichten</w:t>
      </w:r>
      <w:r w:rsidR="007B2B9A" w:rsidRPr="0080160C">
        <w:t xml:space="preserve"> bis zur Einweisung in ein Konzentrationslager.</w:t>
      </w:r>
      <w:r w:rsidR="00981DAF">
        <w:rPr>
          <w:rStyle w:val="Funotenzeichen"/>
        </w:rPr>
        <w:footnoteReference w:id="47"/>
      </w:r>
    </w:p>
    <w:p w:rsidR="00D1245A" w:rsidRPr="0080160C" w:rsidRDefault="00460337" w:rsidP="00D87B79">
      <w:pPr>
        <w:spacing w:after="0"/>
        <w:ind w:firstLine="708"/>
        <w:jc w:val="both"/>
      </w:pPr>
      <w:r w:rsidRPr="0080160C">
        <w:t>In den Genuss der Sondergenehmigung kam</w:t>
      </w:r>
      <w:r w:rsidR="007B2B9A" w:rsidRPr="0080160C">
        <w:t>en</w:t>
      </w:r>
      <w:r w:rsidRPr="0080160C">
        <w:t xml:space="preserve"> nur d</w:t>
      </w:r>
      <w:r w:rsidR="007B2B9A" w:rsidRPr="0080160C">
        <w:t>i</w:t>
      </w:r>
      <w:r w:rsidRPr="0080160C">
        <w:t>ejenige</w:t>
      </w:r>
      <w:r w:rsidR="007B2B9A" w:rsidRPr="0080160C">
        <w:t>n</w:t>
      </w:r>
      <w:r w:rsidRPr="0080160C">
        <w:t>, d</w:t>
      </w:r>
      <w:r w:rsidR="007B2B9A" w:rsidRPr="0080160C">
        <w:t>i</w:t>
      </w:r>
      <w:r w:rsidRPr="0080160C">
        <w:t>e zumindest nach a</w:t>
      </w:r>
      <w:r w:rsidRPr="0080160C">
        <w:t>u</w:t>
      </w:r>
      <w:r w:rsidRPr="0080160C">
        <w:t>ßen hin mit dem NS-System konform ging</w:t>
      </w:r>
      <w:r w:rsidR="007B2B9A" w:rsidRPr="0080160C">
        <w:t>en</w:t>
      </w:r>
      <w:r w:rsidRPr="0080160C">
        <w:t>, ein entsprechendes Wohlverhalten an den Tag legte</w:t>
      </w:r>
      <w:r w:rsidR="00FE1C4B" w:rsidRPr="0080160C">
        <w:t>n</w:t>
      </w:r>
      <w:r w:rsidRPr="0080160C">
        <w:t xml:space="preserve">, durch </w:t>
      </w:r>
      <w:r w:rsidR="007B2B9A" w:rsidRPr="0080160C">
        <w:t>ihr</w:t>
      </w:r>
      <w:r w:rsidRPr="0080160C">
        <w:t>e Lebensführung nicht Anstoß erregte</w:t>
      </w:r>
      <w:r w:rsidR="00FE1C4B" w:rsidRPr="0080160C">
        <w:t>n</w:t>
      </w:r>
      <w:r w:rsidRPr="0080160C">
        <w:t xml:space="preserve"> und den Pflichten, denen ein Nati</w:t>
      </w:r>
      <w:r w:rsidRPr="0080160C">
        <w:t>o</w:t>
      </w:r>
      <w:r w:rsidRPr="0080160C">
        <w:t>nalsozialist unterworfen war, Folge leistete</w:t>
      </w:r>
      <w:r w:rsidR="007B2B9A" w:rsidRPr="0080160C">
        <w:t>n</w:t>
      </w:r>
      <w:r w:rsidRPr="0080160C">
        <w:t xml:space="preserve">. Das schloss </w:t>
      </w:r>
      <w:r w:rsidR="002B248F" w:rsidRPr="0080160C">
        <w:t>derart</w:t>
      </w:r>
      <w:r w:rsidR="005E6334" w:rsidRPr="0080160C">
        <w:t xml:space="preserve"> </w:t>
      </w:r>
      <w:r w:rsidR="007B2B9A" w:rsidRPr="0080160C">
        <w:t>absurde Sachverhalte</w:t>
      </w:r>
      <w:r w:rsidR="005E6334" w:rsidRPr="0080160C">
        <w:t xml:space="preserve"> ein wie</w:t>
      </w:r>
      <w:r w:rsidR="007B2B9A" w:rsidRPr="0080160C">
        <w:t xml:space="preserve"> die</w:t>
      </w:r>
      <w:r w:rsidRPr="0080160C">
        <w:t xml:space="preserve"> regelmäßige Spende für das Winterhilfswerk oder </w:t>
      </w:r>
      <w:r w:rsidR="007B2B9A" w:rsidRPr="0080160C">
        <w:t xml:space="preserve">für </w:t>
      </w:r>
      <w:r w:rsidRPr="0080160C">
        <w:t xml:space="preserve">die Stiftung „Künstlerdank“. </w:t>
      </w:r>
      <w:r w:rsidR="007B2B9A" w:rsidRPr="0080160C">
        <w:t xml:space="preserve">Ob gespendet wurde, wurde genau registriert und in der Personalakte vermerkt. </w:t>
      </w:r>
      <w:r w:rsidRPr="0080160C">
        <w:t xml:space="preserve">Ein </w:t>
      </w:r>
      <w:r w:rsidR="00340099" w:rsidRPr="0080160C">
        <w:t xml:space="preserve">absoluter </w:t>
      </w:r>
      <w:r w:rsidRPr="0080160C">
        <w:t xml:space="preserve">Hinderungsgrund war die Mitgliedschaft in der Jüdischen Gemeinde, und zwar die eigene wie die Mitgliedschaft der Kinder. </w:t>
      </w:r>
      <w:r w:rsidR="00A8035C" w:rsidRPr="0080160C">
        <w:t xml:space="preserve">In der Reichsfilmkammer </w:t>
      </w:r>
      <w:r w:rsidR="007B2B9A" w:rsidRPr="0080160C">
        <w:t>war</w:t>
      </w:r>
      <w:r w:rsidR="00A8035C" w:rsidRPr="0080160C">
        <w:t xml:space="preserve"> ein umfangreicher Beamtena</w:t>
      </w:r>
      <w:r w:rsidR="00A8035C" w:rsidRPr="0080160C">
        <w:t>p</w:t>
      </w:r>
      <w:r w:rsidR="00A8035C" w:rsidRPr="0080160C">
        <w:t xml:space="preserve">parat </w:t>
      </w:r>
      <w:r w:rsidR="007B2B9A" w:rsidRPr="0080160C">
        <w:t xml:space="preserve">einzig damit beschäftigt, </w:t>
      </w:r>
      <w:r w:rsidR="00A8035C" w:rsidRPr="0080160C">
        <w:t xml:space="preserve">die Einhaltung </w:t>
      </w:r>
      <w:r w:rsidR="007B2B9A" w:rsidRPr="0080160C">
        <w:t>dies</w:t>
      </w:r>
      <w:r w:rsidR="00A8035C" w:rsidRPr="0080160C">
        <w:t>er Anforderungen</w:t>
      </w:r>
      <w:r w:rsidR="007B2B9A" w:rsidRPr="0080160C">
        <w:t xml:space="preserve"> zu überwachen</w:t>
      </w:r>
      <w:r w:rsidR="00A8035C" w:rsidRPr="0080160C">
        <w:t xml:space="preserve">. Bevor </w:t>
      </w:r>
      <w:r w:rsidR="007B2B9A" w:rsidRPr="0080160C">
        <w:t>der Antrag auf</w:t>
      </w:r>
      <w:r w:rsidR="00A8035C" w:rsidRPr="0080160C">
        <w:t xml:space="preserve"> Sondergenehmigung </w:t>
      </w:r>
      <w:r w:rsidR="005E6334" w:rsidRPr="0080160C">
        <w:t>entscheidungsreif war</w:t>
      </w:r>
      <w:r w:rsidR="00A8035C" w:rsidRPr="0080160C">
        <w:t xml:space="preserve">, wurden bei der Gestapo, in der Nachbarschaft und an einer Vielzahl anderer Stellen </w:t>
      </w:r>
      <w:r w:rsidR="00CF452C" w:rsidRPr="0080160C">
        <w:t>detailliert</w:t>
      </w:r>
      <w:r w:rsidR="00A8035C" w:rsidRPr="0080160C">
        <w:t xml:space="preserve">e Auskünfte </w:t>
      </w:r>
      <w:r w:rsidR="00CF452C" w:rsidRPr="0080160C">
        <w:t>über den Betre</w:t>
      </w:r>
      <w:r w:rsidR="00CF452C" w:rsidRPr="0080160C">
        <w:t>f</w:t>
      </w:r>
      <w:r w:rsidR="00CF452C" w:rsidRPr="0080160C">
        <w:t xml:space="preserve">fenden und seine Lebensführung </w:t>
      </w:r>
      <w:r w:rsidR="00A8035C" w:rsidRPr="0080160C">
        <w:t xml:space="preserve">eingeholt. Die Entscheidung </w:t>
      </w:r>
      <w:r w:rsidR="005E6334" w:rsidRPr="0080160C">
        <w:t xml:space="preserve">selber </w:t>
      </w:r>
      <w:r w:rsidR="00CF452C" w:rsidRPr="0080160C">
        <w:t xml:space="preserve">wurde </w:t>
      </w:r>
      <w:r w:rsidR="00A8035C" w:rsidRPr="0080160C">
        <w:t xml:space="preserve">nicht im Apparat gefällt. Goebbels </w:t>
      </w:r>
      <w:r w:rsidR="005E6334" w:rsidRPr="0080160C">
        <w:t xml:space="preserve">behielt sie </w:t>
      </w:r>
      <w:r w:rsidR="00A8035C" w:rsidRPr="0080160C">
        <w:t>sich persönlich vor.</w:t>
      </w:r>
      <w:r w:rsidR="00B2549E" w:rsidRPr="0080160C">
        <w:t xml:space="preserve"> – In dieses Milieu führt der Bericht e</w:t>
      </w:r>
      <w:r w:rsidR="00E5622B" w:rsidRPr="0080160C">
        <w:t>ine</w:t>
      </w:r>
      <w:r w:rsidR="00B2549E" w:rsidRPr="0080160C">
        <w:t>r weiteren</w:t>
      </w:r>
      <w:r w:rsidR="00E5622B" w:rsidRPr="0080160C">
        <w:t xml:space="preserve"> Teilnehmerin des Harvard-Preisausschreibens</w:t>
      </w:r>
      <w:r w:rsidR="00B2549E" w:rsidRPr="0080160C">
        <w:t xml:space="preserve">: </w:t>
      </w:r>
      <w:r w:rsidR="00E5622B" w:rsidRPr="0080160C">
        <w:t xml:space="preserve">Eva </w:t>
      </w:r>
      <w:proofErr w:type="spellStart"/>
      <w:r w:rsidR="00E5622B" w:rsidRPr="0080160C">
        <w:t>Wysbar</w:t>
      </w:r>
      <w:r w:rsidR="00B2549E" w:rsidRPr="0080160C">
        <w:t>s</w:t>
      </w:r>
      <w:proofErr w:type="spellEnd"/>
      <w:r w:rsidR="00E5622B" w:rsidRPr="0080160C">
        <w:t>,</w:t>
      </w:r>
      <w:r w:rsidR="00706C7F" w:rsidRPr="0080160C">
        <w:rPr>
          <w:rStyle w:val="Funotenzeichen"/>
        </w:rPr>
        <w:t xml:space="preserve"> </w:t>
      </w:r>
      <w:r w:rsidR="00706C7F" w:rsidRPr="0080160C">
        <w:rPr>
          <w:rStyle w:val="Funotenzeichen"/>
        </w:rPr>
        <w:footnoteReference w:id="48"/>
      </w:r>
      <w:r w:rsidR="00E5622B" w:rsidRPr="0080160C">
        <w:t xml:space="preserve"> de</w:t>
      </w:r>
      <w:r w:rsidR="00B2549E" w:rsidRPr="0080160C">
        <w:t>r</w:t>
      </w:r>
      <w:r w:rsidR="00E5622B" w:rsidRPr="0080160C">
        <w:t xml:space="preserve"> jüdische</w:t>
      </w:r>
      <w:r w:rsidR="00B2549E" w:rsidRPr="0080160C">
        <w:t>n</w:t>
      </w:r>
      <w:r w:rsidR="00E5622B" w:rsidRPr="0080160C">
        <w:t xml:space="preserve"> Eh</w:t>
      </w:r>
      <w:r w:rsidR="00E5622B" w:rsidRPr="0080160C">
        <w:t>e</w:t>
      </w:r>
      <w:r w:rsidR="00E5622B" w:rsidRPr="0080160C">
        <w:t xml:space="preserve">frau des </w:t>
      </w:r>
      <w:r w:rsidR="00706C7F" w:rsidRPr="0080160C">
        <w:t xml:space="preserve">renommierten </w:t>
      </w:r>
      <w:r w:rsidR="00E5622B" w:rsidRPr="0080160C">
        <w:t xml:space="preserve">Filmregisseurs </w:t>
      </w:r>
      <w:r w:rsidR="005618E1" w:rsidRPr="0080160C">
        <w:t xml:space="preserve">Frank </w:t>
      </w:r>
      <w:proofErr w:type="spellStart"/>
      <w:r w:rsidR="005618E1" w:rsidRPr="0080160C">
        <w:t>Wysbar</w:t>
      </w:r>
      <w:proofErr w:type="spellEnd"/>
      <w:r w:rsidR="00706C7F" w:rsidRPr="0080160C">
        <w:t>.</w:t>
      </w:r>
      <w:r w:rsidR="005618E1" w:rsidRPr="0080160C">
        <w:t xml:space="preserve"> </w:t>
      </w:r>
    </w:p>
    <w:p w:rsidR="007C5EE5" w:rsidRPr="0080160C" w:rsidRDefault="007C5EE5" w:rsidP="00D87B79">
      <w:pPr>
        <w:spacing w:after="0"/>
        <w:ind w:firstLine="708"/>
        <w:jc w:val="both"/>
        <w:rPr>
          <w:i/>
        </w:rPr>
      </w:pPr>
    </w:p>
    <w:p w:rsidR="007C5EE5" w:rsidRPr="0080160C" w:rsidRDefault="00B2549E" w:rsidP="00D87B79">
      <w:pPr>
        <w:spacing w:after="0"/>
        <w:ind w:firstLine="708"/>
        <w:jc w:val="both"/>
      </w:pPr>
      <w:r w:rsidRPr="0080160C">
        <w:t xml:space="preserve">Frank </w:t>
      </w:r>
      <w:proofErr w:type="spellStart"/>
      <w:r w:rsidRPr="0080160C">
        <w:t>Wysbar</w:t>
      </w:r>
      <w:proofErr w:type="spellEnd"/>
      <w:r w:rsidR="007C5EE5" w:rsidRPr="0080160C">
        <w:t xml:space="preserve">, </w:t>
      </w:r>
      <w:r w:rsidR="005E1469" w:rsidRPr="0080160C">
        <w:t xml:space="preserve">für Cineasten </w:t>
      </w:r>
      <w:r w:rsidR="007C5EE5" w:rsidRPr="0080160C">
        <w:t>heute ein Kult</w:t>
      </w:r>
      <w:r w:rsidR="002B248F" w:rsidRPr="0080160C">
        <w:t>gestalt</w:t>
      </w:r>
      <w:r w:rsidR="007C5EE5" w:rsidRPr="0080160C">
        <w:t>,</w:t>
      </w:r>
      <w:r w:rsidRPr="0080160C">
        <w:t xml:space="preserve"> war, wie </w:t>
      </w:r>
      <w:r w:rsidR="00AC5FDE" w:rsidRPr="0080160C">
        <w:t xml:space="preserve">Detlef </w:t>
      </w:r>
      <w:proofErr w:type="spellStart"/>
      <w:r w:rsidR="00AC5FDE" w:rsidRPr="0080160C">
        <w:t>Garz</w:t>
      </w:r>
      <w:proofErr w:type="spellEnd"/>
      <w:r w:rsidR="00AC5FDE" w:rsidRPr="0080160C">
        <w:t xml:space="preserve">, </w:t>
      </w:r>
      <w:r w:rsidRPr="0080160C">
        <w:t>der Herau</w:t>
      </w:r>
      <w:r w:rsidRPr="0080160C">
        <w:t>s</w:t>
      </w:r>
      <w:r w:rsidRPr="0080160C">
        <w:t xml:space="preserve">geber </w:t>
      </w:r>
      <w:r w:rsidR="00AC5FDE" w:rsidRPr="0080160C">
        <w:t xml:space="preserve">von Eva </w:t>
      </w:r>
      <w:proofErr w:type="spellStart"/>
      <w:r w:rsidR="00AC5FDE" w:rsidRPr="0080160C">
        <w:t>Wysbars</w:t>
      </w:r>
      <w:proofErr w:type="spellEnd"/>
      <w:r w:rsidR="00AC5FDE" w:rsidRPr="0080160C">
        <w:t xml:space="preserve"> Bericht, vorsichtig andeutet, eine zwielichtige </w:t>
      </w:r>
      <w:r w:rsidR="005E6334" w:rsidRPr="0080160C">
        <w:t>Person</w:t>
      </w:r>
      <w:r w:rsidR="00AC5FDE" w:rsidRPr="0080160C">
        <w:t>, und dieses Faktum verleiht den Geschehnissen ein besonder</w:t>
      </w:r>
      <w:r w:rsidR="005E6334" w:rsidRPr="0080160C">
        <w:t>e</w:t>
      </w:r>
      <w:r w:rsidR="00AC5FDE" w:rsidRPr="0080160C">
        <w:t>s Kolorit.</w:t>
      </w:r>
      <w:r w:rsidR="00AC5FDE" w:rsidRPr="0080160C">
        <w:rPr>
          <w:rStyle w:val="Funotenzeichen"/>
        </w:rPr>
        <w:footnoteReference w:id="49"/>
      </w:r>
      <w:r w:rsidR="00AC5FDE" w:rsidRPr="0080160C">
        <w:t xml:space="preserve"> Frank </w:t>
      </w:r>
      <w:proofErr w:type="spellStart"/>
      <w:r w:rsidR="00AC5FDE" w:rsidRPr="0080160C">
        <w:t>Wysbar</w:t>
      </w:r>
      <w:proofErr w:type="spellEnd"/>
      <w:r w:rsidR="00AC5FDE" w:rsidRPr="0080160C">
        <w:t xml:space="preserve"> (Franz Paul </w:t>
      </w:r>
      <w:proofErr w:type="spellStart"/>
      <w:r w:rsidR="00AC5FDE" w:rsidRPr="0080160C">
        <w:t>Wi</w:t>
      </w:r>
      <w:r w:rsidR="00AC5FDE" w:rsidRPr="0080160C">
        <w:t>s</w:t>
      </w:r>
      <w:r w:rsidR="00AC5FDE" w:rsidRPr="0080160C">
        <w:t>bar</w:t>
      </w:r>
      <w:proofErr w:type="spellEnd"/>
      <w:r w:rsidR="00AC5FDE" w:rsidRPr="0080160C">
        <w:t xml:space="preserve">), geb. 1899 in </w:t>
      </w:r>
      <w:proofErr w:type="spellStart"/>
      <w:r w:rsidR="00AC5FDE" w:rsidRPr="0080160C">
        <w:t>Tilsit</w:t>
      </w:r>
      <w:proofErr w:type="spellEnd"/>
      <w:r w:rsidR="00AC5FDE" w:rsidRPr="0080160C">
        <w:t xml:space="preserve">, „Arier“, Sohn eines ostpreußischen </w:t>
      </w:r>
      <w:r w:rsidR="005E6334" w:rsidRPr="0080160C">
        <w:t>Fernmeldese</w:t>
      </w:r>
      <w:r w:rsidR="00AC5FDE" w:rsidRPr="0080160C">
        <w:t xml:space="preserve">kretärs, war </w:t>
      </w:r>
      <w:r w:rsidR="005E6334" w:rsidRPr="0080160C">
        <w:t>im Er</w:t>
      </w:r>
      <w:r w:rsidR="005E6334" w:rsidRPr="0080160C">
        <w:t>s</w:t>
      </w:r>
      <w:r w:rsidR="005E6334" w:rsidRPr="0080160C">
        <w:t xml:space="preserve">ten Weltkrieg </w:t>
      </w:r>
      <w:r w:rsidR="00AC5FDE" w:rsidRPr="0080160C">
        <w:t>ab 1915</w:t>
      </w:r>
      <w:r w:rsidR="005E6334" w:rsidRPr="0080160C">
        <w:t>, also bereits mit 16 Jahren,</w:t>
      </w:r>
      <w:r w:rsidR="00AC5FDE" w:rsidRPr="0080160C">
        <w:t xml:space="preserve"> Soldat, zuletzt als Fähnrich</w:t>
      </w:r>
      <w:r w:rsidR="005E6334" w:rsidRPr="0080160C">
        <w:t>. Zu Kriegsende</w:t>
      </w:r>
      <w:r w:rsidR="00AC5FDE" w:rsidRPr="0080160C">
        <w:t xml:space="preserve"> schloss </w:t>
      </w:r>
      <w:r w:rsidR="005E6334" w:rsidRPr="0080160C">
        <w:t xml:space="preserve">er </w:t>
      </w:r>
      <w:r w:rsidR="00AC5FDE" w:rsidRPr="0080160C">
        <w:t xml:space="preserve">sich </w:t>
      </w:r>
      <w:r w:rsidR="007F24A9" w:rsidRPr="0080160C">
        <w:t xml:space="preserve">vermutlich </w:t>
      </w:r>
      <w:r w:rsidR="009543BF" w:rsidRPr="0080160C">
        <w:t xml:space="preserve">– die Angaben </w:t>
      </w:r>
      <w:r w:rsidR="007F24A9" w:rsidRPr="0080160C">
        <w:t xml:space="preserve">sind </w:t>
      </w:r>
      <w:r w:rsidR="009543BF" w:rsidRPr="0080160C">
        <w:t>widersprüchlich</w:t>
      </w:r>
      <w:r w:rsidR="005E6334" w:rsidRPr="0080160C">
        <w:t>;</w:t>
      </w:r>
      <w:r w:rsidR="001F1452" w:rsidRPr="0080160C">
        <w:t xml:space="preserve"> </w:t>
      </w:r>
      <w:r w:rsidR="005E6334" w:rsidRPr="0080160C">
        <w:t xml:space="preserve">die </w:t>
      </w:r>
      <w:proofErr w:type="spellStart"/>
      <w:r w:rsidR="005E6334" w:rsidRPr="0080160C">
        <w:t>zeit</w:t>
      </w:r>
      <w:proofErr w:type="spellEnd"/>
      <w:r w:rsidR="005E6334" w:rsidRPr="0080160C">
        <w:t>- bzw.</w:t>
      </w:r>
      <w:r w:rsidR="001F1452" w:rsidRPr="0080160C">
        <w:t xml:space="preserve"> generationstyp</w:t>
      </w:r>
      <w:r w:rsidR="001F1452" w:rsidRPr="0080160C">
        <w:t>i</w:t>
      </w:r>
      <w:r w:rsidR="001F1452" w:rsidRPr="0080160C">
        <w:t xml:space="preserve">sche Logik </w:t>
      </w:r>
      <w:r w:rsidR="005E6334" w:rsidRPr="0080160C">
        <w:t xml:space="preserve">deutet jedoch darauf hin, dass die von </w:t>
      </w:r>
      <w:proofErr w:type="spellStart"/>
      <w:r w:rsidR="005E6334" w:rsidRPr="0080160C">
        <w:t>Garz</w:t>
      </w:r>
      <w:proofErr w:type="spellEnd"/>
      <w:r w:rsidR="005E6334" w:rsidRPr="0080160C">
        <w:t xml:space="preserve"> vorgelegte Deutung richtig ist</w:t>
      </w:r>
      <w:r w:rsidR="009543BF" w:rsidRPr="0080160C">
        <w:t xml:space="preserve"> –</w:t>
      </w:r>
      <w:r w:rsidR="007F24A9" w:rsidRPr="0080160C">
        <w:t xml:space="preserve"> </w:t>
      </w:r>
      <w:r w:rsidR="009543BF" w:rsidRPr="0080160C">
        <w:t xml:space="preserve">einem der zahlreichen Freikorps </w:t>
      </w:r>
      <w:r w:rsidR="007C5EE5" w:rsidRPr="0080160C">
        <w:t xml:space="preserve">an </w:t>
      </w:r>
      <w:r w:rsidR="001F1452" w:rsidRPr="0080160C">
        <w:t>und wurde</w:t>
      </w:r>
      <w:r w:rsidR="005E6334" w:rsidRPr="0080160C">
        <w:t xml:space="preserve"> aus diesem Grund</w:t>
      </w:r>
      <w:r w:rsidR="001F1452" w:rsidRPr="0080160C">
        <w:t xml:space="preserve"> anschließend </w:t>
      </w:r>
      <w:r w:rsidR="009543BF" w:rsidRPr="0080160C">
        <w:t xml:space="preserve">in </w:t>
      </w:r>
      <w:r w:rsidR="001F1452" w:rsidRPr="0080160C">
        <w:t>die Reichswehr</w:t>
      </w:r>
      <w:r w:rsidR="009543BF" w:rsidRPr="0080160C">
        <w:t xml:space="preserve"> übernommen</w:t>
      </w:r>
      <w:r w:rsidR="001F1452" w:rsidRPr="0080160C">
        <w:t>.</w:t>
      </w:r>
      <w:r w:rsidR="009543BF" w:rsidRPr="0080160C">
        <w:t xml:space="preserve"> Er </w:t>
      </w:r>
      <w:r w:rsidR="001F1452" w:rsidRPr="0080160C">
        <w:t>holte</w:t>
      </w:r>
      <w:r w:rsidR="009543BF" w:rsidRPr="0080160C">
        <w:t xml:space="preserve"> </w:t>
      </w:r>
      <w:r w:rsidR="005E1469" w:rsidRPr="0080160C">
        <w:t>h</w:t>
      </w:r>
      <w:r w:rsidR="009543BF" w:rsidRPr="0080160C">
        <w:t>ier das Abitur</w:t>
      </w:r>
      <w:r w:rsidR="007C5EE5" w:rsidRPr="0080160C">
        <w:t xml:space="preserve"> nach</w:t>
      </w:r>
      <w:r w:rsidR="005E1469" w:rsidRPr="0080160C">
        <w:t>.</w:t>
      </w:r>
      <w:r w:rsidR="001F1452" w:rsidRPr="0080160C">
        <w:t xml:space="preserve"> 1</w:t>
      </w:r>
      <w:r w:rsidR="009543BF" w:rsidRPr="0080160C">
        <w:t xml:space="preserve">927 </w:t>
      </w:r>
      <w:r w:rsidR="001F1452" w:rsidRPr="0080160C">
        <w:t xml:space="preserve">nahm er als Leutnant seinen Abschied. </w:t>
      </w:r>
      <w:r w:rsidR="00C56B09" w:rsidRPr="0080160C">
        <w:t>Als Tätigkeit nach seiner Entlassung aus der Reichswehr gab er in</w:t>
      </w:r>
      <w:r w:rsidR="007C5EE5" w:rsidRPr="0080160C">
        <w:t xml:space="preserve"> seine</w:t>
      </w:r>
      <w:r w:rsidR="00C56B09" w:rsidRPr="0080160C">
        <w:t>m</w:t>
      </w:r>
      <w:r w:rsidR="007C5EE5" w:rsidRPr="0080160C">
        <w:t xml:space="preserve"> </w:t>
      </w:r>
      <w:r w:rsidR="00C56B09" w:rsidRPr="0080160C">
        <w:t>A</w:t>
      </w:r>
      <w:r w:rsidR="007C5EE5" w:rsidRPr="0080160C">
        <w:t xml:space="preserve">ntrag </w:t>
      </w:r>
      <w:r w:rsidR="00C56B09" w:rsidRPr="0080160C">
        <w:t>zur Aufnahme in</w:t>
      </w:r>
      <w:r w:rsidR="007C5EE5" w:rsidRPr="0080160C">
        <w:t xml:space="preserve"> die Reichsfilmkammer</w:t>
      </w:r>
      <w:r w:rsidR="001F1452" w:rsidRPr="0080160C">
        <w:t xml:space="preserve"> an: Verlagsleiter bei </w:t>
      </w:r>
      <w:proofErr w:type="spellStart"/>
      <w:r w:rsidR="001F1452" w:rsidRPr="0080160C">
        <w:t>Rothgiesser</w:t>
      </w:r>
      <w:proofErr w:type="spellEnd"/>
      <w:r w:rsidR="001F1452" w:rsidRPr="0080160C">
        <w:t xml:space="preserve"> &amp; </w:t>
      </w:r>
      <w:proofErr w:type="spellStart"/>
      <w:r w:rsidR="001F1452" w:rsidRPr="0080160C">
        <w:t>Diesing</w:t>
      </w:r>
      <w:proofErr w:type="spellEnd"/>
      <w:r w:rsidR="001F1452" w:rsidRPr="0080160C">
        <w:t xml:space="preserve"> A. G. Berlin sowie Pr</w:t>
      </w:r>
      <w:r w:rsidR="001F1452" w:rsidRPr="0080160C">
        <w:t>o</w:t>
      </w:r>
      <w:r w:rsidR="001F1452" w:rsidRPr="0080160C">
        <w:t xml:space="preserve">duktionsleiter bei </w:t>
      </w:r>
      <w:r w:rsidR="007F24A9" w:rsidRPr="0080160C">
        <w:t xml:space="preserve">der </w:t>
      </w:r>
      <w:r w:rsidR="001F1452" w:rsidRPr="0080160C">
        <w:t xml:space="preserve">Karl [recte: Carl] </w:t>
      </w:r>
      <w:proofErr w:type="spellStart"/>
      <w:r w:rsidR="001F1452" w:rsidRPr="0080160C">
        <w:t>Froelich</w:t>
      </w:r>
      <w:proofErr w:type="spellEnd"/>
      <w:r w:rsidR="001F1452" w:rsidRPr="0080160C">
        <w:t xml:space="preserve"> GmbH. </w:t>
      </w:r>
      <w:r w:rsidR="00B00AEE" w:rsidRPr="0080160C">
        <w:t>Auch hier ist der politische Hinte</w:t>
      </w:r>
      <w:r w:rsidR="00B00AEE" w:rsidRPr="0080160C">
        <w:t>r</w:t>
      </w:r>
      <w:r w:rsidR="00B00AEE" w:rsidRPr="0080160C">
        <w:t xml:space="preserve">grund von Bedeutung: Carl </w:t>
      </w:r>
      <w:proofErr w:type="spellStart"/>
      <w:r w:rsidR="00B00AEE" w:rsidRPr="0080160C">
        <w:t>Froelich</w:t>
      </w:r>
      <w:proofErr w:type="spellEnd"/>
      <w:r w:rsidR="00B00AEE" w:rsidRPr="0080160C">
        <w:t xml:space="preserve"> wurde 1936 Mitglied des Präsidialrats der Reichsfil</w:t>
      </w:r>
      <w:r w:rsidR="00B00AEE" w:rsidRPr="0080160C">
        <w:t>m</w:t>
      </w:r>
      <w:r w:rsidR="00B00AEE" w:rsidRPr="0080160C">
        <w:t>kammer, 1939 Präsident der Reichsfilmkammer.</w:t>
      </w:r>
    </w:p>
    <w:p w:rsidR="00706C7F" w:rsidRPr="0080160C" w:rsidRDefault="001F1452" w:rsidP="00D87B79">
      <w:pPr>
        <w:spacing w:after="0"/>
        <w:ind w:firstLine="708"/>
        <w:jc w:val="both"/>
      </w:pPr>
      <w:r w:rsidRPr="0080160C">
        <w:lastRenderedPageBreak/>
        <w:t>Aufschluss</w:t>
      </w:r>
      <w:r w:rsidR="007C5EE5" w:rsidRPr="0080160C">
        <w:t>reich ist die Angabe</w:t>
      </w:r>
      <w:r w:rsidR="00432DB2" w:rsidRPr="0080160C">
        <w:t xml:space="preserve"> von Detlef </w:t>
      </w:r>
      <w:proofErr w:type="spellStart"/>
      <w:r w:rsidR="00432DB2" w:rsidRPr="0080160C">
        <w:t>Garz</w:t>
      </w:r>
      <w:proofErr w:type="spellEnd"/>
      <w:r w:rsidR="007C5EE5" w:rsidRPr="0080160C">
        <w:t xml:space="preserve">, </w:t>
      </w:r>
      <w:proofErr w:type="spellStart"/>
      <w:r w:rsidR="007C5EE5" w:rsidRPr="0080160C">
        <w:t>Wysbar</w:t>
      </w:r>
      <w:proofErr w:type="spellEnd"/>
      <w:r w:rsidR="007C5EE5" w:rsidRPr="0080160C">
        <w:t xml:space="preserve"> </w:t>
      </w:r>
      <w:r w:rsidR="005E1469" w:rsidRPr="0080160C">
        <w:t xml:space="preserve">sei </w:t>
      </w:r>
      <w:r w:rsidR="007C5EE5" w:rsidRPr="0080160C">
        <w:t xml:space="preserve">Träger des „Blutordens“ </w:t>
      </w:r>
      <w:r w:rsidR="00432DB2" w:rsidRPr="0080160C">
        <w:t>gewesen</w:t>
      </w:r>
      <w:r w:rsidR="007C5EE5" w:rsidRPr="0080160C">
        <w:t xml:space="preserve">, </w:t>
      </w:r>
      <w:r w:rsidR="00432DB2" w:rsidRPr="0080160C">
        <w:t xml:space="preserve">also </w:t>
      </w:r>
      <w:r w:rsidR="007C5EE5" w:rsidRPr="0080160C">
        <w:t>der</w:t>
      </w:r>
      <w:r w:rsidR="00432DB2" w:rsidRPr="0080160C">
        <w:t xml:space="preserve"> höchsten NSDAP-Auszeichnung</w:t>
      </w:r>
      <w:r w:rsidR="005E1469" w:rsidRPr="0080160C">
        <w:t>. Der Blutorden war in</w:t>
      </w:r>
      <w:r w:rsidR="00432DB2" w:rsidRPr="0080160C">
        <w:t xml:space="preserve"> Erinnerung an den Hitler-Putsch von 1923 </w:t>
      </w:r>
      <w:r w:rsidR="005E1469" w:rsidRPr="0080160C">
        <w:t xml:space="preserve">gestiftet worden </w:t>
      </w:r>
      <w:r w:rsidR="00432DB2" w:rsidRPr="0080160C">
        <w:t>und deshalb im Dritten Reich ungemein</w:t>
      </w:r>
      <w:r w:rsidR="00E4524B" w:rsidRPr="0080160C">
        <w:t xml:space="preserve"> prestig</w:t>
      </w:r>
      <w:r w:rsidR="00E4524B" w:rsidRPr="0080160C">
        <w:t>e</w:t>
      </w:r>
      <w:r w:rsidR="00E4524B" w:rsidRPr="0080160C">
        <w:t>trächtig</w:t>
      </w:r>
      <w:r w:rsidR="00432DB2" w:rsidRPr="0080160C">
        <w:t xml:space="preserve">. </w:t>
      </w:r>
      <w:r w:rsidR="005E1469" w:rsidRPr="0080160C">
        <w:t xml:space="preserve">Er </w:t>
      </w:r>
      <w:r w:rsidR="00E4524B" w:rsidRPr="0080160C">
        <w:t>wurde vor 1933 nur an die Teilnehmer des Putsches und des Marsches zur Fel</w:t>
      </w:r>
      <w:r w:rsidR="00E4524B" w:rsidRPr="0080160C">
        <w:t>d</w:t>
      </w:r>
      <w:r w:rsidR="00E4524B" w:rsidRPr="0080160C">
        <w:t>herrnhalle</w:t>
      </w:r>
      <w:r w:rsidR="00AD4EBA" w:rsidRPr="0080160C">
        <w:t xml:space="preserve"> vergeben</w:t>
      </w:r>
      <w:r w:rsidR="00E4524B" w:rsidRPr="0080160C">
        <w:t xml:space="preserve">. </w:t>
      </w:r>
      <w:r w:rsidR="005E1469" w:rsidRPr="0080160C">
        <w:t xml:space="preserve">In welcher Funktion </w:t>
      </w:r>
      <w:proofErr w:type="spellStart"/>
      <w:r w:rsidR="005E1469" w:rsidRPr="0080160C">
        <w:t>Wysbar</w:t>
      </w:r>
      <w:proofErr w:type="spellEnd"/>
      <w:r w:rsidR="005E1469" w:rsidRPr="0080160C">
        <w:t xml:space="preserve"> an dem Putsch teilgenommen hatte, ist u</w:t>
      </w:r>
      <w:r w:rsidR="005E1469" w:rsidRPr="0080160C">
        <w:t>n</w:t>
      </w:r>
      <w:r w:rsidR="005E1469" w:rsidRPr="0080160C">
        <w:t>klar. Da er aber mit dem Milieu der Freikorps in Verbindung stand und sein</w:t>
      </w:r>
      <w:r w:rsidR="00706C7F" w:rsidRPr="0080160C">
        <w:t xml:space="preserve">e Übernahme in die </w:t>
      </w:r>
      <w:r w:rsidR="005E1469" w:rsidRPr="0080160C">
        <w:t xml:space="preserve">Reichswehr </w:t>
      </w:r>
      <w:r w:rsidR="00706C7F" w:rsidRPr="0080160C">
        <w:t>sich vermutlich auch von daher erklärt</w:t>
      </w:r>
      <w:r w:rsidR="005E1469" w:rsidRPr="0080160C">
        <w:t>, kann von einem „Zufall“</w:t>
      </w:r>
      <w:r w:rsidR="00C56B09" w:rsidRPr="0080160C">
        <w:t xml:space="preserve"> </w:t>
      </w:r>
      <w:r w:rsidR="00AD4EBA" w:rsidRPr="0080160C">
        <w:t>sein</w:t>
      </w:r>
      <w:r w:rsidR="00C56B09" w:rsidRPr="0080160C">
        <w:t>er A</w:t>
      </w:r>
      <w:r w:rsidR="00C56B09" w:rsidRPr="0080160C">
        <w:t>n</w:t>
      </w:r>
      <w:r w:rsidR="00C56B09" w:rsidRPr="0080160C">
        <w:t>wesenheit</w:t>
      </w:r>
      <w:r w:rsidR="00AD4EBA" w:rsidRPr="0080160C">
        <w:t>,</w:t>
      </w:r>
      <w:r w:rsidR="00C56B09" w:rsidRPr="0080160C">
        <w:t xml:space="preserve"> </w:t>
      </w:r>
      <w:r w:rsidR="00AD4EBA" w:rsidRPr="0080160C">
        <w:t xml:space="preserve">wie </w:t>
      </w:r>
      <w:proofErr w:type="spellStart"/>
      <w:r w:rsidR="00AD4EBA" w:rsidRPr="0080160C">
        <w:t>Wysbar</w:t>
      </w:r>
      <w:proofErr w:type="spellEnd"/>
      <w:r w:rsidR="00AD4EBA" w:rsidRPr="0080160C">
        <w:t xml:space="preserve"> nach 1945 den Sachverhalt erklärte,</w:t>
      </w:r>
      <w:r w:rsidR="00AD4EBA" w:rsidRPr="0080160C">
        <w:rPr>
          <w:rStyle w:val="Funotenzeichen"/>
        </w:rPr>
        <w:t xml:space="preserve"> </w:t>
      </w:r>
      <w:r w:rsidR="00AD4EBA" w:rsidRPr="0080160C">
        <w:rPr>
          <w:rStyle w:val="Funotenzeichen"/>
        </w:rPr>
        <w:footnoteReference w:id="50"/>
      </w:r>
      <w:r w:rsidR="00AD4EBA" w:rsidRPr="0080160C">
        <w:t xml:space="preserve"> </w:t>
      </w:r>
      <w:r w:rsidR="00706C7F" w:rsidRPr="0080160C">
        <w:t>wohl kaum die Rede sein</w:t>
      </w:r>
      <w:r w:rsidR="00AD4EBA" w:rsidRPr="0080160C">
        <w:t>.</w:t>
      </w:r>
      <w:r w:rsidR="00706C7F" w:rsidRPr="0080160C">
        <w:t xml:space="preserve"> Er </w:t>
      </w:r>
      <w:r w:rsidR="005E1469" w:rsidRPr="0080160C">
        <w:t>spielte de</w:t>
      </w:r>
      <w:r w:rsidR="00AD4EBA" w:rsidRPr="0080160C">
        <w:t xml:space="preserve">n Sachverhalt </w:t>
      </w:r>
      <w:r w:rsidR="005E1469" w:rsidRPr="0080160C">
        <w:t>herun</w:t>
      </w:r>
      <w:r w:rsidR="00706C7F" w:rsidRPr="0080160C">
        <w:t>t</w:t>
      </w:r>
      <w:r w:rsidR="005E1469" w:rsidRPr="0080160C">
        <w:t>er</w:t>
      </w:r>
      <w:r w:rsidR="00AD4EBA" w:rsidRPr="0080160C">
        <w:t xml:space="preserve"> bzw. lenkte von den damit verbundenen Rückschlüssen auf seine politische Position ab</w:t>
      </w:r>
      <w:r w:rsidR="005E1469" w:rsidRPr="0080160C">
        <w:t>.</w:t>
      </w:r>
      <w:r w:rsidR="00AD4EBA" w:rsidRPr="0080160C">
        <w:t xml:space="preserve"> Nicht die Mitgliedschaft in der NSDAP</w:t>
      </w:r>
      <w:r w:rsidR="005E1469" w:rsidRPr="0080160C">
        <w:t xml:space="preserve"> </w:t>
      </w:r>
      <w:r w:rsidR="00AD4EBA" w:rsidRPr="0080160C">
        <w:t>war bei Beurteilung se</w:t>
      </w:r>
      <w:r w:rsidR="00AD4EBA" w:rsidRPr="0080160C">
        <w:t>i</w:t>
      </w:r>
      <w:r w:rsidR="00AD4EBA" w:rsidRPr="0080160C">
        <w:t xml:space="preserve">ner Position von Bedeutung, wohl aber sein politischer Werdegang </w:t>
      </w:r>
    </w:p>
    <w:p w:rsidR="00C139D4" w:rsidRPr="0080160C" w:rsidRDefault="00E4524B" w:rsidP="00D87B79">
      <w:pPr>
        <w:spacing w:after="0"/>
        <w:ind w:firstLine="708"/>
        <w:jc w:val="both"/>
      </w:pPr>
      <w:r w:rsidRPr="0080160C">
        <w:t>D</w:t>
      </w:r>
      <w:r w:rsidR="00C56B09" w:rsidRPr="0080160C">
        <w:t>ie Tatsache, d</w:t>
      </w:r>
      <w:r w:rsidRPr="0080160C">
        <w:t xml:space="preserve">ass </w:t>
      </w:r>
      <w:proofErr w:type="spellStart"/>
      <w:r w:rsidR="00C56B09" w:rsidRPr="0080160C">
        <w:t>Wysbar</w:t>
      </w:r>
      <w:proofErr w:type="spellEnd"/>
      <w:r w:rsidRPr="0080160C">
        <w:t xml:space="preserve"> Träger des Blutorde</w:t>
      </w:r>
      <w:r w:rsidR="00706C7F" w:rsidRPr="0080160C">
        <w:t>n</w:t>
      </w:r>
      <w:r w:rsidRPr="0080160C">
        <w:t xml:space="preserve">s war, war </w:t>
      </w:r>
      <w:r w:rsidR="00AD4EBA" w:rsidRPr="0080160C">
        <w:t xml:space="preserve">in seinem Umfeld bekannt, denn </w:t>
      </w:r>
      <w:proofErr w:type="spellStart"/>
      <w:r w:rsidR="00AD4EBA" w:rsidRPr="0080160C">
        <w:t>Wysbar</w:t>
      </w:r>
      <w:proofErr w:type="spellEnd"/>
      <w:r w:rsidR="00AD4EBA" w:rsidRPr="0080160C">
        <w:t xml:space="preserve"> machte gezielt von dem Prestige Gebrauch, das mit diesem Orden verbunden war.</w:t>
      </w:r>
      <w:r w:rsidR="00AD4EBA" w:rsidRPr="0080160C">
        <w:rPr>
          <w:rStyle w:val="Funotenzeichen"/>
        </w:rPr>
        <w:footnoteReference w:id="51"/>
      </w:r>
      <w:r w:rsidR="005E1469" w:rsidRPr="0080160C">
        <w:t xml:space="preserve"> </w:t>
      </w:r>
      <w:r w:rsidR="00AD4EBA" w:rsidRPr="0080160C">
        <w:t xml:space="preserve">Spätestens von dem Moment an, als </w:t>
      </w:r>
      <w:proofErr w:type="spellStart"/>
      <w:r w:rsidR="00AD4EBA" w:rsidRPr="0080160C">
        <w:t>Wysbar</w:t>
      </w:r>
      <w:proofErr w:type="spellEnd"/>
      <w:r w:rsidR="00AD4EBA" w:rsidRPr="0080160C">
        <w:t xml:space="preserve"> zu einem politischen „Fal</w:t>
      </w:r>
      <w:r w:rsidR="00991FF0" w:rsidRPr="0080160C">
        <w:t>l</w:t>
      </w:r>
      <w:r w:rsidR="00AD4EBA" w:rsidRPr="0080160C">
        <w:t xml:space="preserve">“ geworden war, war diese Information auch </w:t>
      </w:r>
      <w:r w:rsidRPr="0080160C">
        <w:t>Teil seiner Personalakte</w:t>
      </w:r>
      <w:r w:rsidR="00C139D4" w:rsidRPr="0080160C">
        <w:t xml:space="preserve">. </w:t>
      </w:r>
      <w:r w:rsidR="00991FF0" w:rsidRPr="0080160C">
        <w:t xml:space="preserve">Zu einem Fall wurde </w:t>
      </w:r>
      <w:proofErr w:type="spellStart"/>
      <w:r w:rsidR="00991FF0" w:rsidRPr="0080160C">
        <w:t>Wysbar</w:t>
      </w:r>
      <w:proofErr w:type="spellEnd"/>
      <w:r w:rsidR="00991FF0" w:rsidRPr="0080160C">
        <w:t xml:space="preserve">, weil </w:t>
      </w:r>
      <w:r w:rsidR="00C56B09" w:rsidRPr="0080160C">
        <w:t xml:space="preserve">Eva </w:t>
      </w:r>
      <w:proofErr w:type="spellStart"/>
      <w:r w:rsidR="00C56B09" w:rsidRPr="0080160C">
        <w:t>Wysbar</w:t>
      </w:r>
      <w:proofErr w:type="spellEnd"/>
      <w:r w:rsidR="00C56B09" w:rsidRPr="0080160C">
        <w:t xml:space="preserve"> </w:t>
      </w:r>
      <w:r w:rsidR="00991FF0" w:rsidRPr="0080160C">
        <w:t>sich nicht</w:t>
      </w:r>
      <w:r w:rsidR="00C56B09" w:rsidRPr="0080160C">
        <w:t xml:space="preserve"> NS-konform</w:t>
      </w:r>
      <w:r w:rsidR="00991FF0" w:rsidRPr="0080160C">
        <w:t xml:space="preserve"> verhielt.</w:t>
      </w:r>
      <w:r w:rsidR="00C56B09" w:rsidRPr="0080160C">
        <w:t xml:space="preserve"> Sie erregte </w:t>
      </w:r>
      <w:r w:rsidR="00991FF0" w:rsidRPr="0080160C">
        <w:t>Anstoß</w:t>
      </w:r>
      <w:r w:rsidR="00C56B09" w:rsidRPr="0080160C">
        <w:t xml:space="preserve">, als sie </w:t>
      </w:r>
      <w:r w:rsidR="00991FF0" w:rsidRPr="0080160C">
        <w:t xml:space="preserve">im April 1933 </w:t>
      </w:r>
      <w:r w:rsidR="00C139D4" w:rsidRPr="0080160C">
        <w:t>bei Gelegenheit einer Premierenfeier ostentativ den Tisch verließ, als zwei „in Naziuniform g</w:t>
      </w:r>
      <w:r w:rsidR="00C139D4" w:rsidRPr="0080160C">
        <w:t>e</w:t>
      </w:r>
      <w:r w:rsidR="00C139D4" w:rsidRPr="0080160C">
        <w:t xml:space="preserve">kleidete Männer“ erschienen und </w:t>
      </w:r>
      <w:r w:rsidR="00706C7F" w:rsidRPr="0080160C">
        <w:t xml:space="preserve">unaufgefordert </w:t>
      </w:r>
      <w:r w:rsidR="00C56B09" w:rsidRPr="0080160C">
        <w:t xml:space="preserve">sich </w:t>
      </w:r>
      <w:r w:rsidR="00C139D4" w:rsidRPr="0080160C">
        <w:t>zu ihr und ihre</w:t>
      </w:r>
      <w:r w:rsidR="00C56B09" w:rsidRPr="0080160C">
        <w:t>m</w:t>
      </w:r>
      <w:r w:rsidR="00C139D4" w:rsidRPr="0080160C">
        <w:t xml:space="preserve"> Mann an den Tisch setzten</w:t>
      </w:r>
      <w:r w:rsidR="00C56B09" w:rsidRPr="0080160C">
        <w:t>.</w:t>
      </w:r>
      <w:r w:rsidR="00C139D4" w:rsidRPr="0080160C">
        <w:rPr>
          <w:rStyle w:val="Funotenzeichen"/>
        </w:rPr>
        <w:footnoteReference w:id="52"/>
      </w:r>
      <w:r w:rsidR="00C56B09" w:rsidRPr="0080160C">
        <w:t xml:space="preserve"> S</w:t>
      </w:r>
      <w:r w:rsidR="00C139D4" w:rsidRPr="0080160C">
        <w:t xml:space="preserve">ie </w:t>
      </w:r>
      <w:r w:rsidR="00991FF0" w:rsidRPr="0080160C">
        <w:t xml:space="preserve">verzichtete nicht darauf, eingetragenes, also auch Steuern zahlendes Mitglied der Jüdischen Gemeinde zu sein und </w:t>
      </w:r>
      <w:r w:rsidR="00C56B09" w:rsidRPr="0080160C">
        <w:t xml:space="preserve">spendete </w:t>
      </w:r>
      <w:r w:rsidR="00991FF0" w:rsidRPr="0080160C">
        <w:t>auch nicht</w:t>
      </w:r>
      <w:r w:rsidR="00C139D4" w:rsidRPr="0080160C">
        <w:t xml:space="preserve"> für das Winterhilfswerk</w:t>
      </w:r>
      <w:r w:rsidR="00991FF0" w:rsidRPr="0080160C">
        <w:t>.</w:t>
      </w:r>
      <w:r w:rsidR="00991FF0" w:rsidRPr="0080160C">
        <w:rPr>
          <w:rStyle w:val="Funotenzeichen"/>
        </w:rPr>
        <w:footnoteReference w:id="53"/>
      </w:r>
      <w:r w:rsidR="00991FF0" w:rsidRPr="0080160C">
        <w:t xml:space="preserve"> </w:t>
      </w:r>
      <w:r w:rsidR="00C139D4" w:rsidRPr="0080160C">
        <w:t>Das w</w:t>
      </w:r>
      <w:r w:rsidR="00C139D4" w:rsidRPr="0080160C">
        <w:t>a</w:t>
      </w:r>
      <w:r w:rsidR="00C139D4" w:rsidRPr="0080160C">
        <w:t xml:space="preserve">ren im NS-Staat </w:t>
      </w:r>
      <w:r w:rsidR="00C56B09" w:rsidRPr="0080160C">
        <w:t>unmissverstän</w:t>
      </w:r>
      <w:r w:rsidR="00FE45C4" w:rsidRPr="0080160C">
        <w:t>d</w:t>
      </w:r>
      <w:r w:rsidR="00C56B09" w:rsidRPr="0080160C">
        <w:t xml:space="preserve">liche </w:t>
      </w:r>
      <w:r w:rsidR="00C139D4" w:rsidRPr="0080160C">
        <w:t xml:space="preserve">Provokationen, und die Tatsache, dass sie nicht sogleich geahndet wurden, </w:t>
      </w:r>
      <w:r w:rsidR="00C56B09" w:rsidRPr="0080160C">
        <w:t>deute</w:t>
      </w:r>
      <w:r w:rsidR="00C139D4" w:rsidRPr="0080160C">
        <w:t>t</w:t>
      </w:r>
      <w:r w:rsidR="00C56B09" w:rsidRPr="0080160C">
        <w:t xml:space="preserve"> darauf hin</w:t>
      </w:r>
      <w:r w:rsidR="00C139D4" w:rsidRPr="0080160C">
        <w:t xml:space="preserve">, dass </w:t>
      </w:r>
      <w:proofErr w:type="spellStart"/>
      <w:r w:rsidR="00C139D4" w:rsidRPr="0080160C">
        <w:t>Wysbar</w:t>
      </w:r>
      <w:proofErr w:type="spellEnd"/>
      <w:r w:rsidR="00C139D4" w:rsidRPr="0080160C">
        <w:t xml:space="preserve">, der ehemalige Freikorpsangehörige, </w:t>
      </w:r>
      <w:r w:rsidR="00FE45C4" w:rsidRPr="0080160C">
        <w:t>der</w:t>
      </w:r>
      <w:r w:rsidR="00C139D4" w:rsidRPr="0080160C">
        <w:t xml:space="preserve"> Mann</w:t>
      </w:r>
      <w:r w:rsidR="00A21159" w:rsidRPr="0080160C">
        <w:t xml:space="preserve"> der „Bewegung“</w:t>
      </w:r>
      <w:r w:rsidR="00FE45C4" w:rsidRPr="0080160C">
        <w:t xml:space="preserve">, </w:t>
      </w:r>
      <w:r w:rsidR="00991FF0" w:rsidRPr="0080160C">
        <w:t>zumindest zeitweilig über das erforderliche</w:t>
      </w:r>
      <w:r w:rsidR="00FE45C4" w:rsidRPr="0080160C">
        <w:t xml:space="preserve"> politisches Prestige</w:t>
      </w:r>
      <w:r w:rsidR="00991FF0" w:rsidRPr="0080160C">
        <w:t xml:space="preserve"> ve</w:t>
      </w:r>
      <w:r w:rsidR="00991FF0" w:rsidRPr="0080160C">
        <w:t>r</w:t>
      </w:r>
      <w:r w:rsidR="00991FF0" w:rsidRPr="0080160C">
        <w:t xml:space="preserve">fügte, Eva </w:t>
      </w:r>
      <w:proofErr w:type="spellStart"/>
      <w:r w:rsidR="00991FF0" w:rsidRPr="0080160C">
        <w:t>Wysbar</w:t>
      </w:r>
      <w:proofErr w:type="spellEnd"/>
      <w:r w:rsidR="00991FF0" w:rsidRPr="0080160C">
        <w:t xml:space="preserve"> zu schützen</w:t>
      </w:r>
      <w:r w:rsidR="00A21159" w:rsidRPr="0080160C">
        <w:t xml:space="preserve">. </w:t>
      </w:r>
    </w:p>
    <w:p w:rsidR="00991FF0" w:rsidRPr="0080160C" w:rsidRDefault="00991FF0" w:rsidP="00D87B79">
      <w:pPr>
        <w:spacing w:after="0"/>
        <w:ind w:firstLine="708"/>
        <w:jc w:val="both"/>
      </w:pPr>
    </w:p>
    <w:p w:rsidR="00441643" w:rsidRPr="0080160C" w:rsidRDefault="00A21159" w:rsidP="00D87B79">
      <w:pPr>
        <w:spacing w:after="0"/>
        <w:ind w:firstLine="708"/>
        <w:jc w:val="both"/>
      </w:pPr>
      <w:r w:rsidRPr="0080160C">
        <w:t xml:space="preserve">Das Geburtsjahr </w:t>
      </w:r>
      <w:r w:rsidR="005618E1" w:rsidRPr="0080160C">
        <w:t xml:space="preserve">Eva </w:t>
      </w:r>
      <w:proofErr w:type="spellStart"/>
      <w:r w:rsidR="005618E1" w:rsidRPr="0080160C">
        <w:t>Wysbar</w:t>
      </w:r>
      <w:r w:rsidRPr="0080160C">
        <w:t>s</w:t>
      </w:r>
      <w:proofErr w:type="spellEnd"/>
      <w:r w:rsidR="005618E1" w:rsidRPr="0080160C">
        <w:t xml:space="preserve"> </w:t>
      </w:r>
      <w:r w:rsidRPr="0080160C">
        <w:t>(</w:t>
      </w:r>
      <w:r w:rsidR="005618E1" w:rsidRPr="0080160C">
        <w:t xml:space="preserve">geb. </w:t>
      </w:r>
      <w:r w:rsidRPr="0080160C">
        <w:t xml:space="preserve">Eva Theresa </w:t>
      </w:r>
      <w:proofErr w:type="spellStart"/>
      <w:r w:rsidR="00D53B4B" w:rsidRPr="0080160C">
        <w:t>Krojanker</w:t>
      </w:r>
      <w:proofErr w:type="spellEnd"/>
      <w:r w:rsidRPr="0080160C">
        <w:t>)</w:t>
      </w:r>
      <w:r w:rsidR="00D53B4B" w:rsidRPr="0080160C">
        <w:t xml:space="preserve"> </w:t>
      </w:r>
      <w:r w:rsidRPr="0080160C">
        <w:t xml:space="preserve">ist 1908, der Geburtsort Berlin. </w:t>
      </w:r>
      <w:r w:rsidR="00D53B4B" w:rsidRPr="0080160C">
        <w:t>Sie stammt</w:t>
      </w:r>
      <w:r w:rsidRPr="0080160C">
        <w:t>e</w:t>
      </w:r>
      <w:r w:rsidR="00D53B4B" w:rsidRPr="0080160C">
        <w:t xml:space="preserve"> aus einer </w:t>
      </w:r>
      <w:r w:rsidRPr="0080160C">
        <w:t xml:space="preserve">sehr </w:t>
      </w:r>
      <w:r w:rsidR="00D53B4B" w:rsidRPr="0080160C">
        <w:t>vermögenden Industriellenfamilie</w:t>
      </w:r>
      <w:r w:rsidRPr="0080160C">
        <w:t>. Nach eigenen Angaben</w:t>
      </w:r>
      <w:r w:rsidR="00D53B4B" w:rsidRPr="0080160C">
        <w:t xml:space="preserve"> studierte </w:t>
      </w:r>
      <w:r w:rsidRPr="0080160C">
        <w:t xml:space="preserve">sie </w:t>
      </w:r>
      <w:r w:rsidR="00D53B4B" w:rsidRPr="0080160C">
        <w:t>Musik und Theaterwissenschaft in Berlin</w:t>
      </w:r>
      <w:r w:rsidR="00D1245A" w:rsidRPr="0080160C">
        <w:t>,</w:t>
      </w:r>
      <w:r w:rsidR="00D53B4B" w:rsidRPr="0080160C">
        <w:t xml:space="preserve"> Freiburg und Zürich.</w:t>
      </w:r>
      <w:r w:rsidR="00D1245A" w:rsidRPr="0080160C">
        <w:t xml:space="preserve"> </w:t>
      </w:r>
      <w:r w:rsidRPr="0080160C">
        <w:t>Die</w:t>
      </w:r>
      <w:r w:rsidR="00784C8A" w:rsidRPr="0080160C">
        <w:t xml:space="preserve"> </w:t>
      </w:r>
      <w:r w:rsidRPr="0080160C">
        <w:t xml:space="preserve">Angaben konnten nicht verifiziert werden, </w:t>
      </w:r>
      <w:r w:rsidR="00784C8A" w:rsidRPr="0080160C">
        <w:t xml:space="preserve">was nicht ausschließt, </w:t>
      </w:r>
      <w:r w:rsidRPr="0080160C">
        <w:t xml:space="preserve">dass </w:t>
      </w:r>
      <w:r w:rsidR="00784C8A" w:rsidRPr="0080160C">
        <w:t xml:space="preserve">Eva </w:t>
      </w:r>
      <w:proofErr w:type="spellStart"/>
      <w:r w:rsidR="00784C8A" w:rsidRPr="0080160C">
        <w:t>Krojanker</w:t>
      </w:r>
      <w:proofErr w:type="spellEnd"/>
      <w:r w:rsidR="00784C8A" w:rsidRPr="0080160C">
        <w:t>, wie sie damals noch hieß,</w:t>
      </w:r>
      <w:r w:rsidRPr="0080160C">
        <w:t xml:space="preserve"> als Gasthörerin Vorlesungen besuchte.</w:t>
      </w:r>
      <w:r w:rsidRPr="0080160C">
        <w:rPr>
          <w:rStyle w:val="Funotenzeichen"/>
        </w:rPr>
        <w:footnoteReference w:id="54"/>
      </w:r>
      <w:r w:rsidRPr="0080160C">
        <w:t xml:space="preserve"> Von 1929 bis 1930 </w:t>
      </w:r>
      <w:r w:rsidR="00706C7F" w:rsidRPr="0080160C">
        <w:t>war</w:t>
      </w:r>
      <w:r w:rsidRPr="0080160C">
        <w:t xml:space="preserve"> sie Mitarbeiterin in der Pressabteilung der Firma Ultraphon, einer renommierten Schallplattenfirma, die dem holländisch-deutschen Küchenmeister-Konzern angehörte.</w:t>
      </w:r>
      <w:r w:rsidRPr="0080160C">
        <w:rPr>
          <w:rStyle w:val="Funotenzeichen"/>
        </w:rPr>
        <w:footnoteReference w:id="55"/>
      </w:r>
      <w:r w:rsidR="00784C8A" w:rsidRPr="0080160C">
        <w:t xml:space="preserve"> Die Mutterfirma </w:t>
      </w:r>
      <w:r w:rsidR="00C70711" w:rsidRPr="0080160C">
        <w:t>war</w:t>
      </w:r>
      <w:r w:rsidR="00784C8A" w:rsidRPr="0080160C">
        <w:t xml:space="preserve"> </w:t>
      </w:r>
      <w:r w:rsidR="00C70711" w:rsidRPr="0080160C">
        <w:t>Teil der</w:t>
      </w:r>
      <w:r w:rsidR="00784C8A" w:rsidRPr="0080160C">
        <w:t xml:space="preserve"> Tobis A.G. Auch hier sind familiäre Beziehungen von Bedeutung: Ein Onkel Eva </w:t>
      </w:r>
      <w:proofErr w:type="spellStart"/>
      <w:r w:rsidR="00784C8A" w:rsidRPr="0080160C">
        <w:t>Krojankers</w:t>
      </w:r>
      <w:proofErr w:type="spellEnd"/>
      <w:r w:rsidR="00784C8A" w:rsidRPr="0080160C">
        <w:t xml:space="preserve">, Heinrich Brückmann, der sie nach dem Tod ihres Vaters </w:t>
      </w:r>
      <w:r w:rsidR="00991FF0" w:rsidRPr="0080160C">
        <w:t>in</w:t>
      </w:r>
      <w:r w:rsidR="00784C8A" w:rsidRPr="0080160C">
        <w:t xml:space="preserve"> seine Obhut </w:t>
      </w:r>
      <w:r w:rsidR="00C70711" w:rsidRPr="0080160C">
        <w:t>genommen hatte</w:t>
      </w:r>
      <w:r w:rsidR="00784C8A" w:rsidRPr="0080160C">
        <w:t xml:space="preserve">, war bis 1929 Generaldirektor der Tobis gewesen. Von 1931 bis 1933 war Eva </w:t>
      </w:r>
      <w:proofErr w:type="spellStart"/>
      <w:r w:rsidR="00784C8A" w:rsidRPr="0080160C">
        <w:t>Krojanker</w:t>
      </w:r>
      <w:proofErr w:type="spellEnd"/>
      <w:r w:rsidR="00784C8A" w:rsidRPr="0080160C">
        <w:t xml:space="preserve"> bei der Carl </w:t>
      </w:r>
      <w:proofErr w:type="spellStart"/>
      <w:r w:rsidR="00784C8A" w:rsidRPr="0080160C">
        <w:t>Froelich</w:t>
      </w:r>
      <w:proofErr w:type="spellEnd"/>
      <w:r w:rsidR="00784C8A" w:rsidRPr="0080160C">
        <w:t xml:space="preserve"> Film GmbH tätig. </w:t>
      </w:r>
      <w:r w:rsidR="00C70711" w:rsidRPr="0080160C">
        <w:t>Sogar</w:t>
      </w:r>
      <w:r w:rsidR="00383519" w:rsidRPr="0080160C">
        <w:t xml:space="preserve"> zu der Fir</w:t>
      </w:r>
      <w:r w:rsidR="00784C8A" w:rsidRPr="0080160C">
        <w:t xml:space="preserve">ma </w:t>
      </w:r>
      <w:proofErr w:type="spellStart"/>
      <w:r w:rsidR="00784C8A" w:rsidRPr="0080160C">
        <w:t>Rothgiesser</w:t>
      </w:r>
      <w:proofErr w:type="spellEnd"/>
      <w:r w:rsidR="00784C8A" w:rsidRPr="0080160C">
        <w:t xml:space="preserve"> &amp; </w:t>
      </w:r>
      <w:proofErr w:type="spellStart"/>
      <w:r w:rsidR="00784C8A" w:rsidRPr="0080160C">
        <w:t>Diesing</w:t>
      </w:r>
      <w:proofErr w:type="spellEnd"/>
      <w:r w:rsidR="00784C8A" w:rsidRPr="0080160C">
        <w:t xml:space="preserve">, wo Frank </w:t>
      </w:r>
      <w:proofErr w:type="spellStart"/>
      <w:r w:rsidR="00784C8A" w:rsidRPr="0080160C">
        <w:t>Wysbar</w:t>
      </w:r>
      <w:proofErr w:type="spellEnd"/>
      <w:r w:rsidR="00784C8A" w:rsidRPr="0080160C">
        <w:t xml:space="preserve"> beschäftigt war</w:t>
      </w:r>
      <w:r w:rsidR="00383519" w:rsidRPr="0080160C">
        <w:t>, bestanden offenbar familiäre Kontakte, denn Evas Bruder Fritz heiratete sp</w:t>
      </w:r>
      <w:r w:rsidR="00383519" w:rsidRPr="0080160C">
        <w:t>ä</w:t>
      </w:r>
      <w:r w:rsidR="00383519" w:rsidRPr="0080160C">
        <w:t xml:space="preserve">ter Ruth </w:t>
      </w:r>
      <w:proofErr w:type="spellStart"/>
      <w:r w:rsidR="00383519" w:rsidRPr="0080160C">
        <w:t>Diesing</w:t>
      </w:r>
      <w:proofErr w:type="spellEnd"/>
      <w:r w:rsidR="00383519" w:rsidRPr="0080160C">
        <w:t xml:space="preserve">, die Tochter des Verlegers. </w:t>
      </w:r>
      <w:r w:rsidR="00C70711" w:rsidRPr="0080160C">
        <w:t xml:space="preserve">– </w:t>
      </w:r>
      <w:r w:rsidR="00383519" w:rsidRPr="0080160C">
        <w:t>Auf einer Feier dieses Verlages</w:t>
      </w:r>
      <w:r w:rsidR="00784C8A" w:rsidRPr="0080160C">
        <w:t xml:space="preserve"> begegneten </w:t>
      </w:r>
      <w:r w:rsidR="00784C8A" w:rsidRPr="0080160C">
        <w:lastRenderedPageBreak/>
        <w:t xml:space="preserve">sich Eva </w:t>
      </w:r>
      <w:proofErr w:type="spellStart"/>
      <w:r w:rsidR="00784C8A" w:rsidRPr="0080160C">
        <w:t>Krojanker</w:t>
      </w:r>
      <w:proofErr w:type="spellEnd"/>
      <w:r w:rsidR="00784C8A" w:rsidRPr="0080160C">
        <w:t xml:space="preserve"> und Frank </w:t>
      </w:r>
      <w:proofErr w:type="spellStart"/>
      <w:r w:rsidR="00784C8A" w:rsidRPr="0080160C">
        <w:t>Wysbar</w:t>
      </w:r>
      <w:proofErr w:type="spellEnd"/>
      <w:r w:rsidR="00383519" w:rsidRPr="0080160C">
        <w:t>.</w:t>
      </w:r>
      <w:r w:rsidR="00383519" w:rsidRPr="0080160C">
        <w:rPr>
          <w:rStyle w:val="Funotenzeichen"/>
        </w:rPr>
        <w:footnoteReference w:id="56"/>
      </w:r>
      <w:r w:rsidR="00C70711" w:rsidRPr="0080160C">
        <w:t xml:space="preserve"> Sie heirateten im Mai 1932; 1934 wurde die Tochter Maria geboren, 1936 (?) ihre Tochter </w:t>
      </w:r>
      <w:r w:rsidR="003858FD" w:rsidRPr="0080160C">
        <w:t>Tania.</w:t>
      </w:r>
      <w:r w:rsidR="00585020" w:rsidRPr="0080160C">
        <w:t xml:space="preserve"> </w:t>
      </w:r>
    </w:p>
    <w:p w:rsidR="00585020" w:rsidRPr="0080160C" w:rsidRDefault="00585020" w:rsidP="00D87B79">
      <w:pPr>
        <w:spacing w:after="0"/>
        <w:ind w:firstLine="708"/>
        <w:jc w:val="both"/>
      </w:pPr>
    </w:p>
    <w:p w:rsidR="00ED58F0" w:rsidRPr="0080160C" w:rsidRDefault="00ED4B07" w:rsidP="00D87B79">
      <w:pPr>
        <w:spacing w:after="0"/>
        <w:jc w:val="both"/>
      </w:pPr>
      <w:r w:rsidRPr="0080160C">
        <w:tab/>
        <w:t xml:space="preserve">Eva </w:t>
      </w:r>
      <w:proofErr w:type="spellStart"/>
      <w:r w:rsidRPr="0080160C">
        <w:t>Wysbars</w:t>
      </w:r>
      <w:proofErr w:type="spellEnd"/>
      <w:r w:rsidRPr="0080160C">
        <w:t xml:space="preserve"> Bericht über ihr Leben </w:t>
      </w:r>
      <w:r w:rsidRPr="0080160C">
        <w:rPr>
          <w:i/>
        </w:rPr>
        <w:t>„vor und nach 1933“</w:t>
      </w:r>
      <w:r w:rsidRPr="0080160C">
        <w:t xml:space="preserve"> ist die Darstellung eines </w:t>
      </w:r>
      <w:r w:rsidRPr="0080160C">
        <w:rPr>
          <w:i/>
        </w:rPr>
        <w:t>tatsächlichen</w:t>
      </w:r>
      <w:r w:rsidRPr="0080160C">
        <w:t xml:space="preserve"> </w:t>
      </w:r>
      <w:r w:rsidR="00C858B3" w:rsidRPr="0080160C">
        <w:t xml:space="preserve">und </w:t>
      </w:r>
      <w:r w:rsidRPr="0080160C">
        <w:t>nicht</w:t>
      </w:r>
      <w:r w:rsidR="00585020" w:rsidRPr="0080160C">
        <w:t xml:space="preserve"> –</w:t>
      </w:r>
      <w:r w:rsidRPr="0080160C">
        <w:t xml:space="preserve"> wie bei </w:t>
      </w:r>
      <w:r w:rsidR="00585020" w:rsidRPr="0080160C">
        <w:t xml:space="preserve">Sebastian </w:t>
      </w:r>
      <w:r w:rsidRPr="0080160C">
        <w:t>Haffner</w:t>
      </w:r>
      <w:r w:rsidR="00585020" w:rsidRPr="0080160C">
        <w:t xml:space="preserve"> – e</w:t>
      </w:r>
      <w:r w:rsidRPr="0080160C">
        <w:t xml:space="preserve">ines fingierten </w:t>
      </w:r>
      <w:r w:rsidRPr="0080160C">
        <w:rPr>
          <w:i/>
        </w:rPr>
        <w:t>Duells mit dem Staat</w:t>
      </w:r>
      <w:r w:rsidR="0032554C" w:rsidRPr="0080160C">
        <w:t>,</w:t>
      </w:r>
      <w:r w:rsidRPr="0080160C">
        <w:t xml:space="preserve"> </w:t>
      </w:r>
      <w:r w:rsidR="00585020" w:rsidRPr="0080160C">
        <w:t>eines Duells vor allem</w:t>
      </w:r>
      <w:r w:rsidR="0032554C" w:rsidRPr="0080160C">
        <w:t xml:space="preserve"> mit </w:t>
      </w:r>
      <w:r w:rsidRPr="0080160C">
        <w:t xml:space="preserve">Joseph Goebbels. </w:t>
      </w:r>
      <w:r w:rsidR="00585020" w:rsidRPr="0080160C">
        <w:t xml:space="preserve">Das Streitobjekt ist ihr </w:t>
      </w:r>
      <w:r w:rsidR="007C6AE8" w:rsidRPr="0080160C">
        <w:t>Ehem</w:t>
      </w:r>
      <w:r w:rsidR="00585020" w:rsidRPr="0080160C">
        <w:t>ann</w:t>
      </w:r>
      <w:r w:rsidR="007C6AE8" w:rsidRPr="0080160C">
        <w:t xml:space="preserve">, </w:t>
      </w:r>
      <w:r w:rsidR="00585020" w:rsidRPr="0080160C">
        <w:t>der Vater ihrer beiden Töchter, für Goebbels</w:t>
      </w:r>
      <w:r w:rsidR="00ED58F0" w:rsidRPr="0080160C">
        <w:t xml:space="preserve"> ein zwar eigenwilliger, </w:t>
      </w:r>
      <w:r w:rsidR="007C6AE8" w:rsidRPr="0080160C">
        <w:t>gleichzeitig aber</w:t>
      </w:r>
      <w:r w:rsidR="00ED58F0" w:rsidRPr="0080160C">
        <w:t xml:space="preserve"> talentierter und für die Filmindustrie des Dritten Reiches wichtiger Regisseur. </w:t>
      </w:r>
      <w:r w:rsidRPr="0080160C">
        <w:t>D</w:t>
      </w:r>
      <w:r w:rsidR="00C858B3" w:rsidRPr="0080160C">
        <w:t>ies</w:t>
      </w:r>
      <w:r w:rsidRPr="0080160C">
        <w:t xml:space="preserve">er Kampf wird </w:t>
      </w:r>
      <w:r w:rsidR="00F108E6" w:rsidRPr="0080160C">
        <w:t xml:space="preserve">von </w:t>
      </w:r>
      <w:r w:rsidR="00ED58F0" w:rsidRPr="0080160C">
        <w:t xml:space="preserve">Seiten </w:t>
      </w:r>
      <w:r w:rsidR="00F108E6" w:rsidRPr="0080160C">
        <w:t xml:space="preserve">Eva </w:t>
      </w:r>
      <w:proofErr w:type="spellStart"/>
      <w:r w:rsidR="00F108E6" w:rsidRPr="0080160C">
        <w:t>Wysbar</w:t>
      </w:r>
      <w:r w:rsidR="00ED58F0" w:rsidRPr="0080160C">
        <w:t>s</w:t>
      </w:r>
      <w:proofErr w:type="spellEnd"/>
      <w:r w:rsidR="00F108E6" w:rsidRPr="0080160C">
        <w:t xml:space="preserve"> mit dem Ziel </w:t>
      </w:r>
      <w:r w:rsidRPr="0080160C">
        <w:t>aufgenommen, die</w:t>
      </w:r>
      <w:r w:rsidR="00ED58F0" w:rsidRPr="0080160C">
        <w:t xml:space="preserve"> künstlerische,</w:t>
      </w:r>
      <w:r w:rsidR="00F108E6" w:rsidRPr="0080160C">
        <w:t xml:space="preserve"> intellektuelle </w:t>
      </w:r>
      <w:r w:rsidR="00ED58F0" w:rsidRPr="0080160C">
        <w:t>Int</w:t>
      </w:r>
      <w:r w:rsidRPr="0080160C">
        <w:t>egrität</w:t>
      </w:r>
      <w:r w:rsidR="00ED58F0" w:rsidRPr="0080160C">
        <w:t xml:space="preserve"> ihres Mannes</w:t>
      </w:r>
      <w:r w:rsidRPr="0080160C">
        <w:t xml:space="preserve"> zu </w:t>
      </w:r>
      <w:r w:rsidR="0032554C" w:rsidRPr="0080160C">
        <w:t>schütz</w:t>
      </w:r>
      <w:r w:rsidRPr="0080160C">
        <w:t>en</w:t>
      </w:r>
      <w:r w:rsidR="00ED58F0" w:rsidRPr="0080160C">
        <w:t xml:space="preserve">. </w:t>
      </w:r>
      <w:proofErr w:type="spellStart"/>
      <w:r w:rsidR="00ED58F0" w:rsidRPr="0080160C">
        <w:t>Wysbar</w:t>
      </w:r>
      <w:proofErr w:type="spellEnd"/>
      <w:r w:rsidR="00ED58F0" w:rsidRPr="0080160C">
        <w:t xml:space="preserve"> wird von Goebbels schikaniert und provoziert. Mal gefallen ihm die Filme nicht</w:t>
      </w:r>
      <w:r w:rsidRPr="0080160C">
        <w:t xml:space="preserve">, </w:t>
      </w:r>
      <w:r w:rsidR="00ED58F0" w:rsidRPr="0080160C">
        <w:t xml:space="preserve">die </w:t>
      </w:r>
      <w:proofErr w:type="spellStart"/>
      <w:r w:rsidR="00ED58F0" w:rsidRPr="0080160C">
        <w:t>Wysbar</w:t>
      </w:r>
      <w:proofErr w:type="spellEnd"/>
      <w:r w:rsidR="00ED58F0" w:rsidRPr="0080160C">
        <w:t xml:space="preserve"> erstellt, mal ist die „jüdische Frau“ das störende Element. Goebbels will </w:t>
      </w:r>
      <w:proofErr w:type="spellStart"/>
      <w:r w:rsidR="00ED58F0" w:rsidRPr="0080160C">
        <w:t>Wysbar</w:t>
      </w:r>
      <w:proofErr w:type="spellEnd"/>
      <w:r w:rsidR="00ED58F0" w:rsidRPr="0080160C">
        <w:t xml:space="preserve"> zur Scheidung zwingen, und </w:t>
      </w:r>
      <w:r w:rsidR="007C6AE8" w:rsidRPr="0080160C">
        <w:t>sein</w:t>
      </w:r>
      <w:r w:rsidR="00ED58F0" w:rsidRPr="0080160C">
        <w:t xml:space="preserve"> Druckmittel ist, </w:t>
      </w:r>
      <w:r w:rsidR="007C6AE8" w:rsidRPr="0080160C">
        <w:t>da</w:t>
      </w:r>
      <w:r w:rsidR="00ED58F0" w:rsidRPr="0080160C">
        <w:t xml:space="preserve">ss er </w:t>
      </w:r>
      <w:proofErr w:type="spellStart"/>
      <w:r w:rsidR="00ED58F0" w:rsidRPr="0080160C">
        <w:t>Wysbar</w:t>
      </w:r>
      <w:proofErr w:type="spellEnd"/>
      <w:r w:rsidR="00ED58F0" w:rsidRPr="0080160C">
        <w:t xml:space="preserve"> von weiterer Regiearbeit ausschließt.</w:t>
      </w:r>
      <w:r w:rsidR="0032554C" w:rsidRPr="0080160C">
        <w:t xml:space="preserve"> </w:t>
      </w:r>
      <w:r w:rsidR="00ED58F0" w:rsidRPr="0080160C">
        <w:t xml:space="preserve">Eva </w:t>
      </w:r>
      <w:proofErr w:type="spellStart"/>
      <w:r w:rsidR="00ED58F0" w:rsidRPr="0080160C">
        <w:t>Wysbar</w:t>
      </w:r>
      <w:proofErr w:type="spellEnd"/>
      <w:r w:rsidR="00ED58F0" w:rsidRPr="0080160C">
        <w:t xml:space="preserve"> Antwort ist, dass sie ihren Mann zur Emigration drängt</w:t>
      </w:r>
      <w:r w:rsidR="00FE1C4B" w:rsidRPr="0080160C">
        <w:t xml:space="preserve"> und zur Vorbereitung der Emigration mehrere Auslandsreisen unternimmt</w:t>
      </w:r>
      <w:r w:rsidR="00ED58F0" w:rsidRPr="0080160C">
        <w:t>.</w:t>
      </w:r>
    </w:p>
    <w:p w:rsidR="00ED4B07" w:rsidRPr="0080160C" w:rsidRDefault="00ED4B07" w:rsidP="00D87B79">
      <w:pPr>
        <w:spacing w:after="0"/>
        <w:ind w:firstLine="567"/>
        <w:jc w:val="both"/>
      </w:pPr>
      <w:r w:rsidRPr="0080160C">
        <w:t>Dieser Kampf scheitert</w:t>
      </w:r>
      <w:r w:rsidR="00A1425F" w:rsidRPr="0080160C">
        <w:t xml:space="preserve">, und zwar bereits bevor die Emigration </w:t>
      </w:r>
      <w:r w:rsidR="00C858B3" w:rsidRPr="0080160C">
        <w:t>t</w:t>
      </w:r>
      <w:r w:rsidR="00FE1C4B" w:rsidRPr="0080160C">
        <w:t>atsächliche</w:t>
      </w:r>
      <w:r w:rsidR="00C858B3" w:rsidRPr="0080160C">
        <w:t xml:space="preserve"> </w:t>
      </w:r>
      <w:r w:rsidR="00A1425F" w:rsidRPr="0080160C">
        <w:t>in die Wege geleitet w</w:t>
      </w:r>
      <w:r w:rsidR="00FE1C4B" w:rsidRPr="0080160C">
        <w:t>i</w:t>
      </w:r>
      <w:r w:rsidR="00A1425F" w:rsidRPr="0080160C">
        <w:t>rd</w:t>
      </w:r>
      <w:r w:rsidRPr="0080160C">
        <w:t xml:space="preserve">. </w:t>
      </w:r>
      <w:r w:rsidR="007C6AE8" w:rsidRPr="0080160C">
        <w:t xml:space="preserve">Das Scheitern wird daran erkennbar, dass </w:t>
      </w:r>
      <w:proofErr w:type="spellStart"/>
      <w:r w:rsidR="007C6AE8" w:rsidRPr="0080160C">
        <w:t>Wysbars</w:t>
      </w:r>
      <w:proofErr w:type="spellEnd"/>
      <w:r w:rsidR="007C6AE8" w:rsidRPr="0080160C">
        <w:t xml:space="preserve"> Name in dem Bericht nur in anonymisierter Form, als „XY“, auftaucht. </w:t>
      </w:r>
      <w:r w:rsidR="00C858B3" w:rsidRPr="0080160C">
        <w:t xml:space="preserve">Frank </w:t>
      </w:r>
      <w:proofErr w:type="spellStart"/>
      <w:r w:rsidR="00A1425F" w:rsidRPr="0080160C">
        <w:t>Wysbar</w:t>
      </w:r>
      <w:proofErr w:type="spellEnd"/>
      <w:r w:rsidR="00A1425F" w:rsidRPr="0080160C">
        <w:t xml:space="preserve"> zerbricht an den Konflikten. </w:t>
      </w:r>
      <w:r w:rsidR="00ED58F0" w:rsidRPr="0080160C">
        <w:t xml:space="preserve">Selbst ein Karenzjahr, das </w:t>
      </w:r>
      <w:r w:rsidR="00A1425F" w:rsidRPr="0080160C">
        <w:t xml:space="preserve">Eva </w:t>
      </w:r>
      <w:proofErr w:type="spellStart"/>
      <w:r w:rsidR="00A1425F" w:rsidRPr="0080160C">
        <w:t>Wysbar</w:t>
      </w:r>
      <w:proofErr w:type="spellEnd"/>
      <w:r w:rsidR="00A1425F" w:rsidRPr="0080160C">
        <w:t xml:space="preserve"> </w:t>
      </w:r>
      <w:r w:rsidR="00ED58F0" w:rsidRPr="0080160C">
        <w:t xml:space="preserve">dadurch </w:t>
      </w:r>
      <w:r w:rsidR="00A1425F" w:rsidRPr="0080160C">
        <w:t xml:space="preserve">erreicht, dass sie </w:t>
      </w:r>
      <w:r w:rsidR="007C6AE8" w:rsidRPr="0080160C">
        <w:t xml:space="preserve">ihrerseits </w:t>
      </w:r>
      <w:r w:rsidR="00A1425F" w:rsidRPr="0080160C">
        <w:t xml:space="preserve">für ein Jahr nach Italien geht, also </w:t>
      </w:r>
      <w:r w:rsidR="007C6AE8" w:rsidRPr="0080160C">
        <w:t xml:space="preserve">den Anschein erweckt, </w:t>
      </w:r>
      <w:proofErr w:type="spellStart"/>
      <w:r w:rsidR="007C6AE8" w:rsidRPr="0080160C">
        <w:t>Wysbar</w:t>
      </w:r>
      <w:proofErr w:type="spellEnd"/>
      <w:r w:rsidR="007C6AE8" w:rsidRPr="0080160C">
        <w:t xml:space="preserve"> und seine Frau lebten tatsächlich bereits getrennt</w:t>
      </w:r>
      <w:r w:rsidR="00A1425F" w:rsidRPr="0080160C">
        <w:t xml:space="preserve">, </w:t>
      </w:r>
      <w:r w:rsidR="00ED58F0" w:rsidRPr="0080160C">
        <w:t>ändert an diesem Tatbestand nichts. D</w:t>
      </w:r>
      <w:r w:rsidR="00F108E6" w:rsidRPr="0080160C">
        <w:t xml:space="preserve">ie </w:t>
      </w:r>
      <w:r w:rsidR="00AA7E57" w:rsidRPr="0080160C">
        <w:t xml:space="preserve">bloße </w:t>
      </w:r>
      <w:r w:rsidR="00F108E6" w:rsidRPr="0080160C">
        <w:t xml:space="preserve">Erwähnung des „Erfolgs“ </w:t>
      </w:r>
      <w:r w:rsidR="00EC3FD2" w:rsidRPr="0080160C">
        <w:t>wandelt sich bereits in eine</w:t>
      </w:r>
      <w:r w:rsidR="00F108E6" w:rsidRPr="0080160C">
        <w:t xml:space="preserve"> Beschreibung der endgültigen Niederlage:</w:t>
      </w:r>
    </w:p>
    <w:p w:rsidR="00F108E6" w:rsidRPr="0080160C" w:rsidRDefault="00F108E6" w:rsidP="00D87B79">
      <w:pPr>
        <w:spacing w:after="0"/>
        <w:ind w:left="567"/>
        <w:jc w:val="both"/>
      </w:pPr>
      <w:r w:rsidRPr="0080160C">
        <w:t>„Es war gelungen. Während meines Aufenthaltes in Italien verbrachte mein Mann fast ein ganzes Jahr in freiwilliger Gefangenschaft in unserem stillen, abgelegenen Haus, das er kaum je verließ. Es war ein Jahr vollkommener Ruhe, die durch kein äußeres Ereignis gestört wurde. Aber die Ruhe kam zu spät für einen innerlich völlig zerbrochenen Mann. Das ständige Leben im Zwielicht</w:t>
      </w:r>
      <w:r w:rsidR="00AB32FF" w:rsidRPr="0080160C">
        <w:t>,</w:t>
      </w:r>
      <w:r w:rsidRPr="0080160C">
        <w:t xml:space="preserve"> der nie aussetzende Zwang zur Strategie und zum Auf-dem-Posten-Stehen, zum gewaltsamen Unterdrücken der eigenen Meinung und zum Doppelleben war mehr, als er hatte ertragen können. Als ich ihn das erste Mal nach langer Zeit wiedersah, wusste ich, dass dieser Mensch zum Untergang verurteilt war, wenn es nicht gelang, ihn aus Nazi-Deutschland zu befreien.“</w:t>
      </w:r>
      <w:r w:rsidRPr="0080160C">
        <w:rPr>
          <w:rStyle w:val="Funotenzeichen"/>
        </w:rPr>
        <w:footnoteReference w:id="57"/>
      </w:r>
    </w:p>
    <w:p w:rsidR="00447E8D" w:rsidRPr="0080160C" w:rsidRDefault="00EC3FD2" w:rsidP="00D87B79">
      <w:pPr>
        <w:spacing w:after="0"/>
        <w:jc w:val="both"/>
      </w:pPr>
      <w:r w:rsidRPr="0080160C">
        <w:t xml:space="preserve">Frank </w:t>
      </w:r>
      <w:proofErr w:type="spellStart"/>
      <w:r w:rsidRPr="0080160C">
        <w:t>Wysbar</w:t>
      </w:r>
      <w:proofErr w:type="spellEnd"/>
      <w:r w:rsidRPr="0080160C">
        <w:t xml:space="preserve"> </w:t>
      </w:r>
      <w:r w:rsidR="00447E8D" w:rsidRPr="0080160C">
        <w:t xml:space="preserve">hat </w:t>
      </w:r>
      <w:r w:rsidR="007C6AE8" w:rsidRPr="0080160C">
        <w:t>zwischen 1933 und 1938, dem Jahr der Ausreise,</w:t>
      </w:r>
      <w:r w:rsidRPr="0080160C">
        <w:t xml:space="preserve"> </w:t>
      </w:r>
      <w:r w:rsidR="007C6AE8" w:rsidRPr="0080160C">
        <w:t>offensichtlich mehrere</w:t>
      </w:r>
      <w:r w:rsidRPr="0080160C">
        <w:t xml:space="preserve"> </w:t>
      </w:r>
      <w:r w:rsidR="00447E8D" w:rsidRPr="0080160C">
        <w:t>Liebschaften</w:t>
      </w:r>
      <w:r w:rsidRPr="0080160C">
        <w:t xml:space="preserve">, </w:t>
      </w:r>
      <w:r w:rsidR="00447E8D" w:rsidRPr="0080160C">
        <w:t>w</w:t>
      </w:r>
      <w:r w:rsidRPr="0080160C">
        <w:t xml:space="preserve">ie </w:t>
      </w:r>
      <w:r w:rsidR="00447E8D" w:rsidRPr="0080160C">
        <w:t>Eva</w:t>
      </w:r>
      <w:r w:rsidRPr="0080160C">
        <w:t xml:space="preserve"> </w:t>
      </w:r>
      <w:proofErr w:type="spellStart"/>
      <w:r w:rsidRPr="0080160C">
        <w:t>Wysbar</w:t>
      </w:r>
      <w:proofErr w:type="spellEnd"/>
      <w:r w:rsidRPr="0080160C">
        <w:t xml:space="preserve"> </w:t>
      </w:r>
      <w:r w:rsidR="00447E8D" w:rsidRPr="0080160C">
        <w:t xml:space="preserve">mit dem Hinweis auf eine „intime Freundin“ </w:t>
      </w:r>
      <w:proofErr w:type="spellStart"/>
      <w:r w:rsidR="00447E8D" w:rsidRPr="0080160C">
        <w:t>Wysbars</w:t>
      </w:r>
      <w:proofErr w:type="spellEnd"/>
      <w:r w:rsidR="00447E8D" w:rsidRPr="0080160C">
        <w:t>, die sie „Tamara“ nennt, selber andeutet.</w:t>
      </w:r>
      <w:r w:rsidRPr="0080160C">
        <w:rPr>
          <w:rStyle w:val="Funotenzeichen"/>
        </w:rPr>
        <w:footnoteReference w:id="58"/>
      </w:r>
      <w:r w:rsidRPr="0080160C">
        <w:t xml:space="preserve"> </w:t>
      </w:r>
      <w:r w:rsidR="00447E8D" w:rsidRPr="0080160C">
        <w:t>Doch nicht die Liebschaften stehen im Zentrum, sondern der Kampf um persönliche, familiäre Freiheit, das Recht auf eigene Meinung und uneing</w:t>
      </w:r>
      <w:r w:rsidR="00447E8D" w:rsidRPr="0080160C">
        <w:t>e</w:t>
      </w:r>
      <w:r w:rsidR="00447E8D" w:rsidRPr="0080160C">
        <w:t>schränkte Bewegungsfreiheit.</w:t>
      </w:r>
    </w:p>
    <w:p w:rsidR="00447E8D" w:rsidRPr="0080160C" w:rsidRDefault="00447E8D" w:rsidP="00D87B79">
      <w:pPr>
        <w:spacing w:after="0"/>
        <w:jc w:val="both"/>
      </w:pPr>
      <w:r w:rsidRPr="0080160C">
        <w:tab/>
        <w:t xml:space="preserve">Eva </w:t>
      </w:r>
      <w:proofErr w:type="spellStart"/>
      <w:r w:rsidRPr="0080160C">
        <w:t>Wysbars</w:t>
      </w:r>
      <w:proofErr w:type="spellEnd"/>
      <w:r w:rsidRPr="0080160C">
        <w:t xml:space="preserve"> Ausgangspunkt </w:t>
      </w:r>
      <w:r w:rsidR="00B623E4" w:rsidRPr="0080160C">
        <w:t>ist das Denunziantentum, das</w:t>
      </w:r>
      <w:r w:rsidRPr="0080160C">
        <w:t xml:space="preserve"> mit dem Machtantritt der Nationalsozialisten </w:t>
      </w:r>
      <w:r w:rsidR="00B623E4" w:rsidRPr="0080160C">
        <w:t>epidemische Züge annimmt</w:t>
      </w:r>
      <w:r w:rsidRPr="0080160C">
        <w:t>:</w:t>
      </w:r>
    </w:p>
    <w:p w:rsidR="00B623E4" w:rsidRPr="0080160C" w:rsidRDefault="00B623E4" w:rsidP="00D87B79">
      <w:pPr>
        <w:spacing w:after="0"/>
        <w:ind w:left="567"/>
        <w:jc w:val="both"/>
      </w:pPr>
      <w:r w:rsidRPr="0080160C">
        <w:t>„Das neue Deutschland war vom ersten Tage seines Bestehens an von einem Heer von Spitzeln überschwemmt, dem bald jeder Deutsche schlechthin zuzuzählen war. Ihr O</w:t>
      </w:r>
      <w:r w:rsidRPr="0080160C">
        <w:t>b</w:t>
      </w:r>
      <w:r w:rsidRPr="0080160C">
        <w:t>jekt war der Volksfeind in jeder Gestalt, der selbstverständlich in erster Reihe in den p</w:t>
      </w:r>
      <w:r w:rsidRPr="0080160C">
        <w:t>o</w:t>
      </w:r>
      <w:r w:rsidRPr="0080160C">
        <w:t xml:space="preserve">litischen Kreisen und im Juden steckte. Da der politische Gegner sowohl wie der Jude </w:t>
      </w:r>
      <w:r w:rsidRPr="0080160C">
        <w:lastRenderedPageBreak/>
        <w:t>öffentlich deklariert waren und keine Rätsel aufgaben, so bot die Säuberung von ihnen keine wirklichen Schwierigkeiten.“ „Unter den Judenfreunden boten die jüdisch ve</w:t>
      </w:r>
      <w:r w:rsidRPr="0080160C">
        <w:t>r</w:t>
      </w:r>
      <w:r w:rsidRPr="0080160C">
        <w:t>sippten Arier eine spezielle Aufgabe. […] Die Aufgabe hieß, entweder das öffentliche Leben von jüdisch Versippten oder aber diesen von seiner jüdischen Sippschaft zu b</w:t>
      </w:r>
      <w:r w:rsidRPr="0080160C">
        <w:t>e</w:t>
      </w:r>
      <w:r w:rsidRPr="0080160C">
        <w:t>freien.“</w:t>
      </w:r>
      <w:r w:rsidRPr="0080160C">
        <w:rPr>
          <w:rStyle w:val="Funotenzeichen"/>
        </w:rPr>
        <w:footnoteReference w:id="59"/>
      </w:r>
    </w:p>
    <w:p w:rsidR="00580790" w:rsidRPr="0080160C" w:rsidRDefault="00B623E4" w:rsidP="00D87B79">
      <w:pPr>
        <w:spacing w:after="0"/>
        <w:jc w:val="both"/>
      </w:pPr>
      <w:r w:rsidRPr="0080160C">
        <w:t xml:space="preserve">Eva </w:t>
      </w:r>
      <w:proofErr w:type="spellStart"/>
      <w:r w:rsidRPr="0080160C">
        <w:t>Wysbar</w:t>
      </w:r>
      <w:proofErr w:type="spellEnd"/>
      <w:r w:rsidRPr="0080160C">
        <w:t xml:space="preserve"> erkennt s</w:t>
      </w:r>
      <w:r w:rsidR="00AB32FF" w:rsidRPr="0080160C">
        <w:t>chon Anfang 1933</w:t>
      </w:r>
      <w:r w:rsidRPr="0080160C">
        <w:t xml:space="preserve">, dass für Frank </w:t>
      </w:r>
      <w:proofErr w:type="spellStart"/>
      <w:r w:rsidRPr="0080160C">
        <w:t>Wysbar</w:t>
      </w:r>
      <w:proofErr w:type="spellEnd"/>
      <w:r w:rsidRPr="0080160C">
        <w:t xml:space="preserve"> ein Verbleib in Deutschland nicht möglich ist. Goebbels hatte unmittelbar nach </w:t>
      </w:r>
      <w:r w:rsidR="00580790" w:rsidRPr="0080160C">
        <w:t xml:space="preserve">der </w:t>
      </w:r>
      <w:r w:rsidRPr="0080160C">
        <w:t xml:space="preserve">Übernahme seines Ministeriums </w:t>
      </w:r>
      <w:proofErr w:type="gramStart"/>
      <w:r w:rsidR="00580790" w:rsidRPr="0080160C">
        <w:t xml:space="preserve">bei einer Filmvorführung </w:t>
      </w:r>
      <w:proofErr w:type="spellStart"/>
      <w:r w:rsidR="00580790" w:rsidRPr="0080160C">
        <w:t>Wysbars</w:t>
      </w:r>
      <w:proofErr w:type="spellEnd"/>
      <w:r w:rsidR="00580790" w:rsidRPr="0080160C">
        <w:t xml:space="preserve"> neuen</w:t>
      </w:r>
      <w:proofErr w:type="gramEnd"/>
      <w:r w:rsidR="00580790" w:rsidRPr="0080160C">
        <w:t xml:space="preserve"> Film </w:t>
      </w:r>
      <w:r w:rsidR="00580790" w:rsidRPr="0080160C">
        <w:rPr>
          <w:i/>
        </w:rPr>
        <w:t xml:space="preserve">Anna u. Elisabeth </w:t>
      </w:r>
      <w:r w:rsidR="00AB32FF" w:rsidRPr="0080160C">
        <w:t xml:space="preserve">spontan </w:t>
      </w:r>
      <w:r w:rsidR="00580790" w:rsidRPr="0080160C">
        <w:t xml:space="preserve">als </w:t>
      </w:r>
      <w:r w:rsidRPr="0080160C">
        <w:t>„</w:t>
      </w:r>
      <w:r w:rsidR="00580790" w:rsidRPr="0080160C">
        <w:t>[t]</w:t>
      </w:r>
      <w:proofErr w:type="spellStart"/>
      <w:r w:rsidRPr="0080160C">
        <w:t>ypisch</w:t>
      </w:r>
      <w:proofErr w:type="spellEnd"/>
      <w:r w:rsidRPr="0080160C">
        <w:t xml:space="preserve"> jüdisch-intellektuelle</w:t>
      </w:r>
      <w:r w:rsidR="00580790" w:rsidRPr="0080160C">
        <w:t>[n]</w:t>
      </w:r>
      <w:r w:rsidRPr="0080160C">
        <w:t xml:space="preserve"> Kitsch, degeneriert und dazu gemacht, den klaren Sinn der Masse zu verwi</w:t>
      </w:r>
      <w:r w:rsidRPr="0080160C">
        <w:t>r</w:t>
      </w:r>
      <w:r w:rsidRPr="0080160C">
        <w:t>ren“</w:t>
      </w:r>
      <w:r w:rsidR="00580790" w:rsidRPr="0080160C">
        <w:t>,</w:t>
      </w:r>
      <w:r w:rsidR="00580790" w:rsidRPr="0080160C">
        <w:rPr>
          <w:rStyle w:val="Funotenzeichen"/>
        </w:rPr>
        <w:footnoteReference w:id="60"/>
      </w:r>
      <w:r w:rsidRPr="0080160C">
        <w:t xml:space="preserve"> </w:t>
      </w:r>
      <w:r w:rsidR="00580790" w:rsidRPr="0080160C">
        <w:t>bezeichnet</w:t>
      </w:r>
      <w:r w:rsidRPr="0080160C">
        <w:t xml:space="preserve">. </w:t>
      </w:r>
      <w:r w:rsidR="00580790" w:rsidRPr="0080160C">
        <w:t xml:space="preserve">Seitdem begegnete er </w:t>
      </w:r>
      <w:proofErr w:type="spellStart"/>
      <w:r w:rsidR="00580790" w:rsidRPr="0080160C">
        <w:t>Wysbar</w:t>
      </w:r>
      <w:proofErr w:type="spellEnd"/>
      <w:r w:rsidR="00580790" w:rsidRPr="0080160C">
        <w:t xml:space="preserve"> mit</w:t>
      </w:r>
      <w:r w:rsidRPr="0080160C">
        <w:t xml:space="preserve"> „Hassliebe“. </w:t>
      </w:r>
      <w:r w:rsidR="00580790" w:rsidRPr="0080160C">
        <w:t xml:space="preserve">Die </w:t>
      </w:r>
      <w:r w:rsidRPr="0080160C">
        <w:t>Konsequenz</w:t>
      </w:r>
      <w:r w:rsidR="00580790" w:rsidRPr="0080160C">
        <w:t xml:space="preserve"> </w:t>
      </w:r>
      <w:r w:rsidR="00076B63" w:rsidRPr="0080160C">
        <w:t>ist</w:t>
      </w:r>
      <w:r w:rsidR="00580790" w:rsidRPr="0080160C">
        <w:t xml:space="preserve">, dass Goebbels – so Eva </w:t>
      </w:r>
      <w:proofErr w:type="spellStart"/>
      <w:r w:rsidR="00580790" w:rsidRPr="0080160C">
        <w:t>Wysbar</w:t>
      </w:r>
      <w:proofErr w:type="spellEnd"/>
      <w:r w:rsidR="00580790" w:rsidRPr="0080160C">
        <w:t xml:space="preserve"> – seinen Beamten die Anweisung g</w:t>
      </w:r>
      <w:r w:rsidR="00076B63" w:rsidRPr="0080160C">
        <w:t>i</w:t>
      </w:r>
      <w:r w:rsidR="00580790" w:rsidRPr="0080160C">
        <w:t>b</w:t>
      </w:r>
      <w:r w:rsidR="00076B63" w:rsidRPr="0080160C">
        <w:t>t</w:t>
      </w:r>
      <w:r w:rsidRPr="0080160C">
        <w:t>: „Bringt die Jüdin weg, aber lasst den XY vorläufig mal machen, wie er will.“</w:t>
      </w:r>
      <w:r w:rsidR="00580790" w:rsidRPr="0080160C">
        <w:rPr>
          <w:rStyle w:val="Funotenzeichen"/>
        </w:rPr>
        <w:footnoteReference w:id="61"/>
      </w:r>
      <w:r w:rsidRPr="0080160C">
        <w:t xml:space="preserve"> Als Privatmensch w</w:t>
      </w:r>
      <w:r w:rsidR="00076B63" w:rsidRPr="0080160C">
        <w:t>i</w:t>
      </w:r>
      <w:r w:rsidR="007451C1" w:rsidRPr="0080160C">
        <w:t>r</w:t>
      </w:r>
      <w:r w:rsidRPr="0080160C">
        <w:t xml:space="preserve">d </w:t>
      </w:r>
      <w:proofErr w:type="spellStart"/>
      <w:r w:rsidRPr="0080160C">
        <w:t>W</w:t>
      </w:r>
      <w:r w:rsidR="00580790" w:rsidRPr="0080160C">
        <w:t>ysbar</w:t>
      </w:r>
      <w:proofErr w:type="spellEnd"/>
      <w:r w:rsidRPr="0080160C">
        <w:t xml:space="preserve"> damit zum Freiwild. Die gesamte persönl</w:t>
      </w:r>
      <w:r w:rsidR="00580790" w:rsidRPr="0080160C">
        <w:t>iche</w:t>
      </w:r>
      <w:r w:rsidRPr="0080160C">
        <w:t xml:space="preserve"> u</w:t>
      </w:r>
      <w:r w:rsidR="00580790" w:rsidRPr="0080160C">
        <w:t>nd</w:t>
      </w:r>
      <w:r w:rsidRPr="0080160C">
        <w:t xml:space="preserve"> berufl</w:t>
      </w:r>
      <w:r w:rsidR="00580790" w:rsidRPr="0080160C">
        <w:t>iche</w:t>
      </w:r>
      <w:r w:rsidRPr="0080160C">
        <w:t xml:space="preserve"> Umgebung </w:t>
      </w:r>
      <w:r w:rsidR="00580790" w:rsidRPr="0080160C">
        <w:t>fungiert dabei als</w:t>
      </w:r>
      <w:r w:rsidRPr="0080160C">
        <w:t xml:space="preserve"> Überw</w:t>
      </w:r>
      <w:r w:rsidRPr="0080160C">
        <w:t>a</w:t>
      </w:r>
      <w:r w:rsidRPr="0080160C">
        <w:t>chungsdienst</w:t>
      </w:r>
      <w:r w:rsidR="00580790" w:rsidRPr="0080160C">
        <w:t>.</w:t>
      </w:r>
    </w:p>
    <w:p w:rsidR="00076B63" w:rsidRPr="0080160C" w:rsidRDefault="00076B63" w:rsidP="00D87B79">
      <w:pPr>
        <w:spacing w:after="0"/>
        <w:jc w:val="both"/>
      </w:pPr>
      <w:r w:rsidRPr="0080160C">
        <w:tab/>
        <w:t xml:space="preserve">Um ein Minimum an privater und beruflicher Freiheit zu gewinnen, wechselt </w:t>
      </w:r>
      <w:proofErr w:type="spellStart"/>
      <w:r w:rsidR="00412E25" w:rsidRPr="0080160C">
        <w:t>Wysbar</w:t>
      </w:r>
      <w:proofErr w:type="spellEnd"/>
      <w:r w:rsidR="00412E25" w:rsidRPr="0080160C">
        <w:t xml:space="preserve"> </w:t>
      </w:r>
      <w:r w:rsidRPr="0080160C">
        <w:t xml:space="preserve">daraufhin </w:t>
      </w:r>
      <w:r w:rsidR="00412E25" w:rsidRPr="0080160C">
        <w:t>von der Ufa zur Terra, einer Filmgesellschaft in schweizerischem Besitz. D</w:t>
      </w:r>
      <w:r w:rsidRPr="0080160C">
        <w:t>i</w:t>
      </w:r>
      <w:r w:rsidR="00412E25" w:rsidRPr="0080160C">
        <w:t>e Pr</w:t>
      </w:r>
      <w:r w:rsidR="00412E25" w:rsidRPr="0080160C">
        <w:t>o</w:t>
      </w:r>
      <w:r w:rsidR="00412E25" w:rsidRPr="0080160C">
        <w:t xml:space="preserve">duktion soll in der Schweiz </w:t>
      </w:r>
      <w:r w:rsidRPr="0080160C">
        <w:t>stattfinden.</w:t>
      </w:r>
      <w:r w:rsidR="00412E25" w:rsidRPr="0080160C">
        <w:t xml:space="preserve"> </w:t>
      </w:r>
      <w:proofErr w:type="spellStart"/>
      <w:r w:rsidR="00412E25" w:rsidRPr="0080160C">
        <w:t>Wysbar</w:t>
      </w:r>
      <w:proofErr w:type="spellEnd"/>
      <w:r w:rsidR="00412E25" w:rsidRPr="0080160C">
        <w:t xml:space="preserve"> hat für sich, seine Frau und ihre Tochter </w:t>
      </w:r>
      <w:r w:rsidRPr="0080160C">
        <w:t>b</w:t>
      </w:r>
      <w:r w:rsidR="00412E25" w:rsidRPr="0080160C">
        <w:t>e</w:t>
      </w:r>
      <w:r w:rsidR="00412E25" w:rsidRPr="0080160C">
        <w:t xml:space="preserve">reits ein Haus in der Schweiz gesucht. </w:t>
      </w:r>
      <w:r w:rsidRPr="0080160C">
        <w:t xml:space="preserve">Aber </w:t>
      </w:r>
      <w:r w:rsidR="00AB32FF" w:rsidRPr="0080160C">
        <w:t>sogar</w:t>
      </w:r>
      <w:r w:rsidRPr="0080160C">
        <w:t xml:space="preserve"> dieser Wechsel ist nur unter Konzessionen möglich:</w:t>
      </w:r>
    </w:p>
    <w:p w:rsidR="00076B63" w:rsidRPr="0080160C" w:rsidRDefault="00076B63" w:rsidP="00D87B79">
      <w:pPr>
        <w:spacing w:after="0"/>
        <w:ind w:left="567"/>
        <w:jc w:val="both"/>
      </w:pPr>
      <w:r w:rsidRPr="0080160C">
        <w:t xml:space="preserve">„Bevor XY den Vertrag mit der ‚Terra‘ abschließen durfte, musste er der Fachschaft [in der Reichsfilmkammer] gegenüber die Erklärung </w:t>
      </w:r>
      <w:proofErr w:type="gramStart"/>
      <w:r w:rsidRPr="0080160C">
        <w:t>ab geben</w:t>
      </w:r>
      <w:proofErr w:type="gramEnd"/>
      <w:r w:rsidRPr="0080160C">
        <w:t>, dass er beabsichtige, sich von mir scheiden zu lassen. Der Pläne wegen, die die ‚Terra‘ für Aufbau einer neuen Produktion in der Schweiz hatte, erschien die Verbindung mit ihr wertvoll genug, um auf diese Bedingung der Fachschaft einzugehen.“</w:t>
      </w:r>
      <w:r w:rsidRPr="0080160C">
        <w:rPr>
          <w:rStyle w:val="Funotenzeichen"/>
        </w:rPr>
        <w:footnoteReference w:id="62"/>
      </w:r>
    </w:p>
    <w:p w:rsidR="00F108E6" w:rsidRPr="0080160C" w:rsidRDefault="00412E25" w:rsidP="00D87B79">
      <w:pPr>
        <w:spacing w:after="0"/>
        <w:jc w:val="both"/>
      </w:pPr>
      <w:r w:rsidRPr="0080160C">
        <w:t>Das Projekt zerschl</w:t>
      </w:r>
      <w:r w:rsidR="00076B63" w:rsidRPr="0080160C">
        <w:t>ägt</w:t>
      </w:r>
      <w:r w:rsidRPr="0080160C">
        <w:t xml:space="preserve"> sich jedoch aufgrund von Devisenschwierigkeiten</w:t>
      </w:r>
      <w:r w:rsidR="00076B63" w:rsidRPr="0080160C">
        <w:t>. D</w:t>
      </w:r>
      <w:r w:rsidRPr="0080160C">
        <w:t>ie Dreharbeiten m</w:t>
      </w:r>
      <w:r w:rsidR="00AB32FF" w:rsidRPr="0080160C">
        <w:t>ü</w:t>
      </w:r>
      <w:r w:rsidRPr="0080160C">
        <w:t xml:space="preserve">ssen in Berlin beendet werden. </w:t>
      </w:r>
      <w:r w:rsidR="002B7B56" w:rsidRPr="0080160C">
        <w:t xml:space="preserve">– </w:t>
      </w:r>
      <w:r w:rsidR="00076B63" w:rsidRPr="0080160C">
        <w:t>Die Nachgiebigkeit in Bezug auf das Scheidungsverla</w:t>
      </w:r>
      <w:r w:rsidR="00076B63" w:rsidRPr="0080160C">
        <w:t>n</w:t>
      </w:r>
      <w:r w:rsidR="00076B63" w:rsidRPr="0080160C">
        <w:t>gen erw</w:t>
      </w:r>
      <w:r w:rsidR="00E7132C" w:rsidRPr="0080160C">
        <w:t>e</w:t>
      </w:r>
      <w:r w:rsidR="00AB32FF" w:rsidRPr="0080160C">
        <w:t>i</w:t>
      </w:r>
      <w:r w:rsidR="00076B63" w:rsidRPr="0080160C">
        <w:t>s</w:t>
      </w:r>
      <w:r w:rsidR="00AB32FF" w:rsidRPr="0080160C">
        <w:t>t</w:t>
      </w:r>
      <w:r w:rsidR="00076B63" w:rsidRPr="0080160C">
        <w:t xml:space="preserve"> sich nunmehr als </w:t>
      </w:r>
      <w:r w:rsidR="002B7B56" w:rsidRPr="0080160C">
        <w:t>ein entscheidender Fehler.</w:t>
      </w:r>
      <w:r w:rsidR="00E7132C" w:rsidRPr="0080160C">
        <w:t xml:space="preserve"> Sie bestärkt den Repressionsapparat in der Annahme, dass eine Verstärkung des Drucks Erfolg haben werde</w:t>
      </w:r>
      <w:r w:rsidR="002B7B56" w:rsidRPr="0080160C">
        <w:t>:</w:t>
      </w:r>
    </w:p>
    <w:p w:rsidR="002B7B56" w:rsidRPr="0080160C" w:rsidRDefault="002B7B56" w:rsidP="00D87B79">
      <w:pPr>
        <w:spacing w:after="0"/>
        <w:ind w:left="567"/>
        <w:jc w:val="both"/>
      </w:pPr>
      <w:r w:rsidRPr="0080160C">
        <w:t>„Die Fachschaft begnügte sich zwar auch in der nächsten Zukunft mit der von XY e</w:t>
      </w:r>
      <w:r w:rsidRPr="0080160C">
        <w:t>r</w:t>
      </w:r>
      <w:r w:rsidRPr="0080160C">
        <w:t>klärten Scheidungsabsicht, aber nur, weil die Gestapo uns intensiv überwachte. Dass wir überhaupt die Fiktion der Trennung und Scheidung aufrechterhalten konnten, war einzig dem Umstand zu danken, dass XY dicht hintere</w:t>
      </w:r>
      <w:r w:rsidR="00EA2D96" w:rsidRPr="0080160C">
        <w:t>i</w:t>
      </w:r>
      <w:r w:rsidRPr="0080160C">
        <w:t>nander zwei Filme drehte, deren ausg</w:t>
      </w:r>
      <w:r w:rsidRPr="0080160C">
        <w:t>e</w:t>
      </w:r>
      <w:r w:rsidRPr="0080160C">
        <w:t>dehnte Außenaufnahmen ihn lange von Berlin entfernt hielten und deren angespannte Atelierarbeit für Privatleben ohnehin wenig Raum ließen.“</w:t>
      </w:r>
      <w:r w:rsidRPr="0080160C">
        <w:rPr>
          <w:rStyle w:val="Funotenzeichen"/>
        </w:rPr>
        <w:footnoteReference w:id="63"/>
      </w:r>
      <w:r w:rsidRPr="0080160C">
        <w:t xml:space="preserve"> </w:t>
      </w:r>
    </w:p>
    <w:p w:rsidR="00EA2D96" w:rsidRPr="0080160C" w:rsidRDefault="00AB32FF" w:rsidP="00D87B79">
      <w:pPr>
        <w:spacing w:after="0"/>
        <w:jc w:val="both"/>
      </w:pPr>
      <w:r w:rsidRPr="0080160C">
        <w:t xml:space="preserve">Pro forma haben die Ehepartner getrennte Wohnungen. </w:t>
      </w:r>
      <w:r w:rsidR="00EA2D96" w:rsidRPr="0080160C">
        <w:t xml:space="preserve">Die Situation spitzt sich jedoch zu, </w:t>
      </w:r>
      <w:r w:rsidR="00C17197" w:rsidRPr="0080160C">
        <w:t>als</w:t>
      </w:r>
      <w:r w:rsidR="00EA2D96" w:rsidRPr="0080160C">
        <w:t xml:space="preserve"> die zweite Tochter geboren w</w:t>
      </w:r>
      <w:r w:rsidR="00C17197" w:rsidRPr="0080160C">
        <w:t>i</w:t>
      </w:r>
      <w:r w:rsidR="00EA2D96" w:rsidRPr="0080160C">
        <w:t xml:space="preserve">rd. Unter diesen Umständen </w:t>
      </w:r>
      <w:r w:rsidR="00C17197" w:rsidRPr="0080160C">
        <w:t>ist</w:t>
      </w:r>
      <w:r w:rsidR="00EA2D96" w:rsidRPr="0080160C">
        <w:t xml:space="preserve"> gar nicht daran zu denken, dass Goebbels </w:t>
      </w:r>
      <w:proofErr w:type="spellStart"/>
      <w:r w:rsidR="00EA2D96" w:rsidRPr="0080160C">
        <w:t>Wysbar</w:t>
      </w:r>
      <w:proofErr w:type="spellEnd"/>
      <w:r w:rsidR="00EA2D96" w:rsidRPr="0080160C">
        <w:t xml:space="preserve"> eine weitere Arbeitserlaubnis erteil</w:t>
      </w:r>
      <w:r w:rsidR="00C17197" w:rsidRPr="0080160C">
        <w:t>t.</w:t>
      </w:r>
      <w:r w:rsidR="00EA2D96" w:rsidRPr="0080160C">
        <w:t xml:space="preserve"> In dieser Situation kommt jedoch Re</w:t>
      </w:r>
      <w:r w:rsidR="00EA2D96" w:rsidRPr="0080160C">
        <w:t>t</w:t>
      </w:r>
      <w:r w:rsidR="00EA2D96" w:rsidRPr="0080160C">
        <w:t xml:space="preserve">tung von Hitler: Er ist von </w:t>
      </w:r>
      <w:proofErr w:type="spellStart"/>
      <w:r w:rsidR="00C17197" w:rsidRPr="0080160C">
        <w:t>Wysbars</w:t>
      </w:r>
      <w:proofErr w:type="spellEnd"/>
      <w:r w:rsidR="00EA2D96" w:rsidRPr="0080160C">
        <w:t xml:space="preserve"> neue</w:t>
      </w:r>
      <w:r w:rsidR="00C17197" w:rsidRPr="0080160C">
        <w:t>m</w:t>
      </w:r>
      <w:r w:rsidR="00EA2D96" w:rsidRPr="0080160C">
        <w:t xml:space="preserve"> Film </w:t>
      </w:r>
      <w:r w:rsidR="00EA2D96" w:rsidRPr="0080160C">
        <w:rPr>
          <w:i/>
        </w:rPr>
        <w:t>Fährmann Maria</w:t>
      </w:r>
      <w:r w:rsidR="00EA2D96" w:rsidRPr="0080160C">
        <w:t xml:space="preserve"> begeistert: </w:t>
      </w:r>
    </w:p>
    <w:p w:rsidR="00222792" w:rsidRPr="0080160C" w:rsidRDefault="00EA2D96" w:rsidP="00D87B79">
      <w:pPr>
        <w:spacing w:after="0"/>
        <w:ind w:left="567"/>
        <w:jc w:val="both"/>
      </w:pPr>
      <w:r w:rsidRPr="0080160C">
        <w:lastRenderedPageBreak/>
        <w:t>„XY stand wieder einmal in Gunst; ein neuer Film wurde ihm übertragen – allerdings jetzt unter der endgültigen Bedingung, unverzüglich die Scheidung anzustrengen.“</w:t>
      </w:r>
      <w:r w:rsidRPr="0080160C">
        <w:rPr>
          <w:rStyle w:val="Funotenzeichen"/>
        </w:rPr>
        <w:footnoteReference w:id="64"/>
      </w:r>
    </w:p>
    <w:p w:rsidR="00222792" w:rsidRPr="0080160C" w:rsidRDefault="00C17197" w:rsidP="00D87B79">
      <w:pPr>
        <w:spacing w:after="0"/>
        <w:jc w:val="both"/>
      </w:pPr>
      <w:r w:rsidRPr="0080160C">
        <w:t xml:space="preserve">Noch immer versucht </w:t>
      </w:r>
      <w:r w:rsidR="00EA2D96" w:rsidRPr="0080160C">
        <w:t xml:space="preserve">Eva </w:t>
      </w:r>
      <w:proofErr w:type="spellStart"/>
      <w:r w:rsidR="00EA2D96" w:rsidRPr="0080160C">
        <w:t>Wysbar</w:t>
      </w:r>
      <w:proofErr w:type="spellEnd"/>
      <w:r w:rsidR="00E7132C" w:rsidRPr="0080160C">
        <w:t xml:space="preserve"> vergeblich</w:t>
      </w:r>
      <w:r w:rsidR="00EA2D96" w:rsidRPr="0080160C">
        <w:t xml:space="preserve">, im Ausland Kontakt zu Produktionsfirmen aufzunehmen, </w:t>
      </w:r>
      <w:r w:rsidR="00E7132C" w:rsidRPr="0080160C">
        <w:t xml:space="preserve">die </w:t>
      </w:r>
      <w:proofErr w:type="spellStart"/>
      <w:r w:rsidR="00E7132C" w:rsidRPr="0080160C">
        <w:t>Wysbar</w:t>
      </w:r>
      <w:proofErr w:type="spellEnd"/>
      <w:r w:rsidR="00E7132C" w:rsidRPr="0080160C">
        <w:t xml:space="preserve"> beschäftigen und ihm damit</w:t>
      </w:r>
      <w:r w:rsidR="00EA2D96" w:rsidRPr="0080160C">
        <w:t xml:space="preserve"> die Emigration ermöglichen</w:t>
      </w:r>
      <w:r w:rsidRPr="0080160C">
        <w:t xml:space="preserve"> könnten</w:t>
      </w:r>
      <w:r w:rsidR="00E7132C" w:rsidRPr="0080160C">
        <w:t>. Als sie die Nachricht von dem neuerlichen Scheidungsverlangen erhält</w:t>
      </w:r>
      <w:r w:rsidR="00EA2D96" w:rsidRPr="0080160C">
        <w:t xml:space="preserve">, reagiert </w:t>
      </w:r>
      <w:r w:rsidR="00E7132C" w:rsidRPr="0080160C">
        <w:t xml:space="preserve">sie </w:t>
      </w:r>
      <w:r w:rsidRPr="0080160C">
        <w:t xml:space="preserve">deshalb </w:t>
      </w:r>
      <w:r w:rsidR="00EA2D96" w:rsidRPr="0080160C">
        <w:t>prompt:</w:t>
      </w:r>
    </w:p>
    <w:p w:rsidR="00EA2D96" w:rsidRPr="0080160C" w:rsidRDefault="00EA2D96" w:rsidP="00D87B79">
      <w:pPr>
        <w:spacing w:after="0"/>
        <w:ind w:left="567"/>
        <w:jc w:val="both"/>
      </w:pPr>
      <w:r w:rsidRPr="0080160C">
        <w:t>„Als ich im Spätsommer mit den Kindern nach Deutschland zurückkam, war mein er</w:t>
      </w:r>
      <w:r w:rsidRPr="0080160C">
        <w:t>s</w:t>
      </w:r>
      <w:r w:rsidRPr="0080160C">
        <w:t>ter Gang zum Rechtsanwalt, um die Scheidungsklage einzureichen […].“</w:t>
      </w:r>
      <w:r w:rsidRPr="0080160C">
        <w:rPr>
          <w:rStyle w:val="Funotenzeichen"/>
        </w:rPr>
        <w:footnoteReference w:id="65"/>
      </w:r>
    </w:p>
    <w:p w:rsidR="00E7132C" w:rsidRPr="0080160C" w:rsidRDefault="00E7132C" w:rsidP="00D87B79">
      <w:pPr>
        <w:spacing w:after="0"/>
        <w:jc w:val="both"/>
      </w:pPr>
      <w:r w:rsidRPr="0080160C">
        <w:t xml:space="preserve">Sie spielt </w:t>
      </w:r>
      <w:r w:rsidR="00C17197" w:rsidRPr="0080160C">
        <w:t xml:space="preserve">dabei </w:t>
      </w:r>
      <w:r w:rsidRPr="0080160C">
        <w:t>auf</w:t>
      </w:r>
      <w:r w:rsidR="00EA2D96" w:rsidRPr="0080160C">
        <w:t xml:space="preserve"> Zeit</w:t>
      </w:r>
      <w:r w:rsidRPr="0080160C">
        <w:t>. Nach deutschem Recht hat d</w:t>
      </w:r>
      <w:r w:rsidR="00F71CEB" w:rsidRPr="0080160C">
        <w:t>er Antragsteller</w:t>
      </w:r>
      <w:r w:rsidRPr="0080160C">
        <w:t xml:space="preserve"> in einem Scheidung</w:t>
      </w:r>
      <w:r w:rsidRPr="0080160C">
        <w:t>s</w:t>
      </w:r>
      <w:r w:rsidRPr="0080160C">
        <w:t xml:space="preserve">verfahren die Möglichkeit, vor Gericht </w:t>
      </w:r>
      <w:r w:rsidR="00F71CEB" w:rsidRPr="0080160C">
        <w:t xml:space="preserve">einen Sühnetermin beantragen. Zu diesem Termin müssen </w:t>
      </w:r>
      <w:r w:rsidRPr="0080160C">
        <w:t xml:space="preserve">dann </w:t>
      </w:r>
      <w:r w:rsidR="00F71CEB" w:rsidRPr="0080160C">
        <w:t xml:space="preserve">beide Parteien erscheinen. Beide Parteien kennen </w:t>
      </w:r>
      <w:r w:rsidR="00C17197" w:rsidRPr="0080160C">
        <w:t xml:space="preserve">in diesem Fall </w:t>
      </w:r>
      <w:r w:rsidR="00F71CEB" w:rsidRPr="0080160C">
        <w:t xml:space="preserve">aber Mittel und Wege, zwingende Gründe </w:t>
      </w:r>
      <w:r w:rsidR="00C17197" w:rsidRPr="0080160C">
        <w:t>vorzutäusch</w:t>
      </w:r>
      <w:r w:rsidR="00F71CEB" w:rsidRPr="0080160C">
        <w:t>en, die einem Erscheinen im Wege stehen.</w:t>
      </w:r>
      <w:r w:rsidR="00A70176" w:rsidRPr="0080160C">
        <w:t xml:space="preserve"> </w:t>
      </w:r>
      <w:r w:rsidRPr="0080160C">
        <w:t>Die Situat</w:t>
      </w:r>
      <w:r w:rsidRPr="0080160C">
        <w:t>i</w:t>
      </w:r>
      <w:r w:rsidRPr="0080160C">
        <w:t>on spitzt sich erneut zu</w:t>
      </w:r>
      <w:r w:rsidR="00A70176" w:rsidRPr="0080160C">
        <w:t xml:space="preserve">, als </w:t>
      </w:r>
      <w:proofErr w:type="spellStart"/>
      <w:r w:rsidR="00A70176" w:rsidRPr="0080160C">
        <w:t>Wysbar</w:t>
      </w:r>
      <w:proofErr w:type="spellEnd"/>
      <w:r w:rsidR="00A70176" w:rsidRPr="0080160C">
        <w:t xml:space="preserve"> bei den Dreharbeiten für einen „Kraft durch Freude“-Film von einem als Komparsen getarnten Gestapo-Mann wegen „Führerbeleidigung“ verhaftet wird.</w:t>
      </w:r>
      <w:r w:rsidR="00A70176" w:rsidRPr="0080160C">
        <w:rPr>
          <w:rStyle w:val="Funotenzeichen"/>
        </w:rPr>
        <w:footnoteReference w:id="66"/>
      </w:r>
      <w:r w:rsidR="00A70176" w:rsidRPr="0080160C">
        <w:t xml:space="preserve"> Aber auch diese Krise wird bewältigt.</w:t>
      </w:r>
    </w:p>
    <w:p w:rsidR="003E3F2D" w:rsidRPr="0080160C" w:rsidRDefault="00A70176" w:rsidP="00D87B79">
      <w:pPr>
        <w:spacing w:after="0"/>
        <w:jc w:val="both"/>
      </w:pPr>
      <w:r w:rsidRPr="0080160C">
        <w:tab/>
        <w:t>Eine nicht klar erkennbare Rolle spielt im Zusammenhang dieser sich steigernden R</w:t>
      </w:r>
      <w:r w:rsidRPr="0080160C">
        <w:t>e</w:t>
      </w:r>
      <w:r w:rsidRPr="0080160C">
        <w:t xml:space="preserve">pressionen Gunter </w:t>
      </w:r>
      <w:proofErr w:type="spellStart"/>
      <w:r w:rsidRPr="0080160C">
        <w:t>d’Alquen</w:t>
      </w:r>
      <w:proofErr w:type="spellEnd"/>
      <w:r w:rsidRPr="0080160C">
        <w:t xml:space="preserve">, </w:t>
      </w:r>
      <w:r w:rsidR="007451C1" w:rsidRPr="0080160C">
        <w:t xml:space="preserve">Adjutant Himmlers, </w:t>
      </w:r>
      <w:r w:rsidRPr="0080160C">
        <w:t xml:space="preserve">Chefredakteur des </w:t>
      </w:r>
      <w:r w:rsidRPr="0080160C">
        <w:rPr>
          <w:i/>
        </w:rPr>
        <w:t>Schwarzen Korps</w:t>
      </w:r>
      <w:r w:rsidR="00930638" w:rsidRPr="0080160C">
        <w:t>, de</w:t>
      </w:r>
      <w:r w:rsidR="007451C1" w:rsidRPr="0080160C">
        <w:t>s</w:t>
      </w:r>
      <w:r w:rsidR="00930638" w:rsidRPr="0080160C">
        <w:t xml:space="preserve"> </w:t>
      </w:r>
      <w:r w:rsidR="007451C1" w:rsidRPr="0080160C">
        <w:t>Organs</w:t>
      </w:r>
      <w:r w:rsidR="003E3F2D" w:rsidRPr="0080160C">
        <w:t xml:space="preserve"> der SS</w:t>
      </w:r>
      <w:r w:rsidR="007451C1" w:rsidRPr="0080160C">
        <w:t xml:space="preserve"> und</w:t>
      </w:r>
      <w:r w:rsidR="003E3F2D" w:rsidRPr="0080160C">
        <w:t xml:space="preserve"> Leiter des innenpolitischen Ressorts des </w:t>
      </w:r>
      <w:r w:rsidR="003E3F2D" w:rsidRPr="0080160C">
        <w:rPr>
          <w:i/>
        </w:rPr>
        <w:t>Völkischen Beobachters</w:t>
      </w:r>
      <w:r w:rsidR="003E3F2D" w:rsidRPr="0080160C">
        <w:t>.</w:t>
      </w:r>
      <w:r w:rsidRPr="0080160C">
        <w:t xml:space="preserve"> </w:t>
      </w:r>
      <w:proofErr w:type="spellStart"/>
      <w:r w:rsidR="00C17197" w:rsidRPr="0080160C">
        <w:t>d’Alquen</w:t>
      </w:r>
      <w:proofErr w:type="spellEnd"/>
      <w:r w:rsidR="00C17197" w:rsidRPr="0080160C">
        <w:t xml:space="preserve"> schirmt in kritischen Situation </w:t>
      </w:r>
      <w:proofErr w:type="spellStart"/>
      <w:r w:rsidR="00C17197" w:rsidRPr="0080160C">
        <w:t>Wysbar</w:t>
      </w:r>
      <w:proofErr w:type="spellEnd"/>
      <w:r w:rsidR="00C17197" w:rsidRPr="0080160C">
        <w:t xml:space="preserve"> gegen Presseangriffe, Denunzianten und Übergriffe von Beamten der Filmkammer ab. </w:t>
      </w:r>
      <w:r w:rsidR="003E3F2D" w:rsidRPr="0080160C">
        <w:t xml:space="preserve">Zwischen </w:t>
      </w:r>
      <w:proofErr w:type="spellStart"/>
      <w:r w:rsidR="003E3F2D" w:rsidRPr="0080160C">
        <w:t>Wysbar</w:t>
      </w:r>
      <w:proofErr w:type="spellEnd"/>
      <w:r w:rsidR="003E3F2D" w:rsidRPr="0080160C">
        <w:t xml:space="preserve"> und </w:t>
      </w:r>
      <w:proofErr w:type="spellStart"/>
      <w:r w:rsidR="003E3F2D" w:rsidRPr="0080160C">
        <w:t>d’Alquen</w:t>
      </w:r>
      <w:proofErr w:type="spellEnd"/>
      <w:r w:rsidR="003E3F2D" w:rsidRPr="0080160C">
        <w:t xml:space="preserve"> entwickelt sich, so Eva </w:t>
      </w:r>
      <w:proofErr w:type="spellStart"/>
      <w:r w:rsidR="003E3F2D" w:rsidRPr="0080160C">
        <w:t>Wysbar</w:t>
      </w:r>
      <w:proofErr w:type="spellEnd"/>
      <w:r w:rsidR="003E3F2D" w:rsidRPr="0080160C">
        <w:t xml:space="preserve">, </w:t>
      </w:r>
      <w:r w:rsidR="00C17197" w:rsidRPr="0080160C">
        <w:t xml:space="preserve">dabei </w:t>
      </w:r>
      <w:r w:rsidR="003E3F2D" w:rsidRPr="0080160C">
        <w:t xml:space="preserve">eine eigenartige Männerfreundschaft. Eva </w:t>
      </w:r>
      <w:proofErr w:type="spellStart"/>
      <w:r w:rsidR="003E3F2D" w:rsidRPr="0080160C">
        <w:t>Wysbar</w:t>
      </w:r>
      <w:proofErr w:type="spellEnd"/>
      <w:r w:rsidR="003E3F2D" w:rsidRPr="0080160C">
        <w:t xml:space="preserve"> kommentiert sie mit folgenden Worten:</w:t>
      </w:r>
    </w:p>
    <w:p w:rsidR="003E3F2D" w:rsidRPr="0080160C" w:rsidRDefault="00A70176" w:rsidP="00D87B79">
      <w:pPr>
        <w:spacing w:after="0"/>
        <w:ind w:left="567"/>
        <w:jc w:val="both"/>
      </w:pPr>
      <w:r w:rsidRPr="0080160C">
        <w:t xml:space="preserve">„Das Hauptinteresse dieser Männer </w:t>
      </w:r>
      <w:r w:rsidR="003E3F2D" w:rsidRPr="0080160C">
        <w:t>[der höheren SS- u. SA-Führer]</w:t>
      </w:r>
      <w:r w:rsidR="007451C1" w:rsidRPr="0080160C">
        <w:t xml:space="preserve"> </w:t>
      </w:r>
      <w:r w:rsidRPr="0080160C">
        <w:t>– sofern sie normal sind – wird von zwei Dingen absorbiert: Frauen und Alkohol“</w:t>
      </w:r>
      <w:r w:rsidR="003E3F2D" w:rsidRPr="0080160C">
        <w:t>.</w:t>
      </w:r>
      <w:r w:rsidR="003E3F2D" w:rsidRPr="0080160C">
        <w:rPr>
          <w:rStyle w:val="Funotenzeichen"/>
        </w:rPr>
        <w:footnoteReference w:id="67"/>
      </w:r>
      <w:r w:rsidRPr="0080160C">
        <w:t xml:space="preserve"> </w:t>
      </w:r>
    </w:p>
    <w:p w:rsidR="003E3F2D" w:rsidRPr="0080160C" w:rsidRDefault="003E3F2D" w:rsidP="00D87B79">
      <w:pPr>
        <w:spacing w:after="0"/>
        <w:jc w:val="both"/>
      </w:pPr>
      <w:r w:rsidRPr="0080160C">
        <w:t xml:space="preserve">So sind auch die Interessen </w:t>
      </w:r>
      <w:proofErr w:type="spellStart"/>
      <w:r w:rsidRPr="0080160C">
        <w:t>d’Alquens</w:t>
      </w:r>
      <w:proofErr w:type="spellEnd"/>
      <w:r w:rsidRPr="0080160C">
        <w:t>:</w:t>
      </w:r>
    </w:p>
    <w:p w:rsidR="003E3F2D" w:rsidRPr="0080160C" w:rsidRDefault="00A70176" w:rsidP="00D87B79">
      <w:pPr>
        <w:spacing w:after="0"/>
        <w:ind w:firstLine="567"/>
        <w:jc w:val="both"/>
      </w:pPr>
      <w:r w:rsidRPr="0080160C">
        <w:t>„Sein Mädel vom letzten Abend sollte in der Komparserie beschäftigt werden“</w:t>
      </w:r>
      <w:r w:rsidR="003E3F2D" w:rsidRPr="0080160C">
        <w:t>.</w:t>
      </w:r>
      <w:r w:rsidR="003E3F2D" w:rsidRPr="0080160C">
        <w:rPr>
          <w:rStyle w:val="Funotenzeichen"/>
        </w:rPr>
        <w:footnoteReference w:id="68"/>
      </w:r>
      <w:r w:rsidRPr="0080160C">
        <w:t xml:space="preserve"> </w:t>
      </w:r>
    </w:p>
    <w:p w:rsidR="003E3F2D" w:rsidRPr="0080160C" w:rsidRDefault="003E3F2D" w:rsidP="00D87B79">
      <w:pPr>
        <w:spacing w:after="0"/>
        <w:jc w:val="both"/>
      </w:pPr>
      <w:proofErr w:type="spellStart"/>
      <w:r w:rsidRPr="0080160C">
        <w:t>d’Alquen</w:t>
      </w:r>
      <w:proofErr w:type="spellEnd"/>
      <w:r w:rsidRPr="0080160C">
        <w:t xml:space="preserve"> verlangt</w:t>
      </w:r>
      <w:r w:rsidR="00E71913" w:rsidRPr="0080160C">
        <w:t xml:space="preserve"> selbstverständlich ebenfalls</w:t>
      </w:r>
      <w:r w:rsidRPr="0080160C">
        <w:t xml:space="preserve">, dass </w:t>
      </w:r>
      <w:r w:rsidR="00A70176" w:rsidRPr="0080160C">
        <w:t xml:space="preserve">Eva ihren Mann „freigeben“ </w:t>
      </w:r>
      <w:r w:rsidRPr="0080160C">
        <w:t>solle. Ihre Reaktion ist unmissverständlich</w:t>
      </w:r>
      <w:r w:rsidR="00A70176" w:rsidRPr="0080160C">
        <w:t xml:space="preserve"> </w:t>
      </w:r>
    </w:p>
    <w:p w:rsidR="003E3F2D" w:rsidRPr="0080160C" w:rsidRDefault="00A70176" w:rsidP="00D87B79">
      <w:pPr>
        <w:spacing w:after="0"/>
        <w:ind w:left="567"/>
        <w:jc w:val="both"/>
      </w:pPr>
      <w:r w:rsidRPr="0080160C">
        <w:t>„</w:t>
      </w:r>
      <w:r w:rsidR="003E3F2D" w:rsidRPr="0080160C">
        <w:t>[I]</w:t>
      </w:r>
      <w:proofErr w:type="spellStart"/>
      <w:r w:rsidRPr="0080160C">
        <w:t>ch</w:t>
      </w:r>
      <w:proofErr w:type="spellEnd"/>
      <w:r w:rsidRPr="0080160C">
        <w:t xml:space="preserve"> fragte ihn nur, wie es sich denn mit sei</w:t>
      </w:r>
      <w:r w:rsidR="00E71913" w:rsidRPr="0080160C">
        <w:t>n</w:t>
      </w:r>
      <w:r w:rsidRPr="0080160C">
        <w:t>en Anschauungen vertrüge, von einer J</w:t>
      </w:r>
      <w:r w:rsidRPr="0080160C">
        <w:t>ü</w:t>
      </w:r>
      <w:r w:rsidRPr="0080160C">
        <w:t xml:space="preserve">din etwas zu erbitten“. </w:t>
      </w:r>
    </w:p>
    <w:p w:rsidR="003A7076" w:rsidRPr="0080160C" w:rsidRDefault="003E3F2D" w:rsidP="00D87B79">
      <w:pPr>
        <w:spacing w:after="0"/>
        <w:jc w:val="both"/>
      </w:pPr>
      <w:r w:rsidRPr="0080160C">
        <w:t xml:space="preserve">Von der SS – oder von anderen Instanzen – wird daraufhin eine ‚Eheverfehlung </w:t>
      </w:r>
      <w:r w:rsidR="00A70176" w:rsidRPr="0080160C">
        <w:t>arrangiert ‘</w:t>
      </w:r>
      <w:r w:rsidR="003A7076" w:rsidRPr="0080160C">
        <w:t>: Man entwendet ihr Auto, parkt es nachts an anderer Stelle und unterrichtet den Ehemann, dass sich das Auto an einem kompromittierenden Ort befinde.</w:t>
      </w:r>
      <w:r w:rsidR="00A70176" w:rsidRPr="0080160C">
        <w:t xml:space="preserve"> </w:t>
      </w:r>
      <w:r w:rsidR="003A7076" w:rsidRPr="0080160C">
        <w:t xml:space="preserve">Das Arrangement fliegt jedoch auf, weil </w:t>
      </w:r>
      <w:proofErr w:type="spellStart"/>
      <w:r w:rsidR="003A7076" w:rsidRPr="0080160C">
        <w:t>Wysbar</w:t>
      </w:r>
      <w:proofErr w:type="spellEnd"/>
      <w:r w:rsidR="003A7076" w:rsidRPr="0080160C">
        <w:t xml:space="preserve"> seine Frau zu Hause anruft – sie befindet sich keineswegs bei einem anderen Mann. – Die fragwürde Freundschaft zwischen </w:t>
      </w:r>
      <w:proofErr w:type="spellStart"/>
      <w:r w:rsidR="003A7076" w:rsidRPr="0080160C">
        <w:t>Wysbar</w:t>
      </w:r>
      <w:proofErr w:type="spellEnd"/>
      <w:r w:rsidR="003A7076" w:rsidRPr="0080160C">
        <w:t xml:space="preserve"> und </w:t>
      </w:r>
      <w:proofErr w:type="spellStart"/>
      <w:r w:rsidR="003A7076" w:rsidRPr="0080160C">
        <w:t>d’Alquen</w:t>
      </w:r>
      <w:proofErr w:type="spellEnd"/>
      <w:r w:rsidR="003A7076" w:rsidRPr="0080160C">
        <w:t xml:space="preserve"> endet, als es in der Wohnung von „Tamara“ (Sybille Schmitz), in die </w:t>
      </w:r>
      <w:proofErr w:type="spellStart"/>
      <w:r w:rsidR="003A7076" w:rsidRPr="0080160C">
        <w:t>d’Alquen</w:t>
      </w:r>
      <w:proofErr w:type="spellEnd"/>
      <w:r w:rsidR="003A7076" w:rsidRPr="0080160C">
        <w:t xml:space="preserve"> leidenschaftlich verliebt ist, aus Anlass der ständigen Bespitzelung zu einer </w:t>
      </w:r>
      <w:r w:rsidR="00E71913" w:rsidRPr="0080160C">
        <w:t>offen</w:t>
      </w:r>
      <w:r w:rsidR="003A7076" w:rsidRPr="0080160C">
        <w:t>en Konfrontation kommt. Nur durch die I</w:t>
      </w:r>
      <w:r w:rsidR="003A7076" w:rsidRPr="0080160C">
        <w:t>n</w:t>
      </w:r>
      <w:r w:rsidR="003A7076" w:rsidRPr="0080160C">
        <w:t>tervention von Tamara kann eine Verhaftung abgewendet werden.</w:t>
      </w:r>
    </w:p>
    <w:p w:rsidR="00E71913" w:rsidRPr="0080160C" w:rsidRDefault="00E71913" w:rsidP="00D87B79">
      <w:pPr>
        <w:spacing w:after="0"/>
        <w:jc w:val="both"/>
      </w:pPr>
      <w:r w:rsidRPr="0080160C">
        <w:lastRenderedPageBreak/>
        <w:tab/>
        <w:t>Der kritische Punkt in der Auseinandersetzung mit Goebbels, den Instanzen der Reichsfilmkammer und mit der Gestapo aber ist die Passfrage. An den Besitz gültiger Pässe ist die Bewegungsfreiheit, letztlich die Entscheidungsfreiheit, gebunden:</w:t>
      </w:r>
    </w:p>
    <w:p w:rsidR="00E71913" w:rsidRPr="0080160C" w:rsidRDefault="00E71913" w:rsidP="00D87B79">
      <w:pPr>
        <w:spacing w:after="0"/>
        <w:ind w:left="567"/>
        <w:jc w:val="both"/>
      </w:pPr>
      <w:r w:rsidRPr="0080160C">
        <w:t>„Im Oktober 1935 beantragte mein Mann die Erneuerung seines abgelaufenen Reispa</w:t>
      </w:r>
      <w:r w:rsidRPr="0080160C">
        <w:t>s</w:t>
      </w:r>
      <w:r w:rsidRPr="0080160C">
        <w:t>ses – im Oktober 1938 hat er sie bekommen. Um dieses Stück Papier haben wir drei Jahre unermüdlich gekämpft; drei Jahre, in denen mein Mann, zu Bewegungslosigkeit und Stillschweigen verdammt, hilflos in der Nazifalle saß, in denen ich durch ganz E</w:t>
      </w:r>
      <w:r w:rsidRPr="0080160C">
        <w:t>u</w:t>
      </w:r>
      <w:r w:rsidRPr="0080160C">
        <w:t>ropa und halb Amerika fuhr, um den Schlüssel für diese Falle zu finden. Es war ein g</w:t>
      </w:r>
      <w:r w:rsidRPr="0080160C">
        <w:t>i</w:t>
      </w:r>
      <w:r w:rsidRPr="0080160C">
        <w:t>gantischer Kampf, bezahlt mit allem, was das Leben schön macht, erträglich nur durch die Idee, für die er geführt wurde.“</w:t>
      </w:r>
      <w:r w:rsidRPr="0080160C">
        <w:rPr>
          <w:rStyle w:val="Funotenzeichen"/>
        </w:rPr>
        <w:footnoteReference w:id="69"/>
      </w:r>
    </w:p>
    <w:p w:rsidR="00664354" w:rsidRPr="0080160C" w:rsidRDefault="00664354" w:rsidP="00D87B79">
      <w:pPr>
        <w:spacing w:after="0"/>
        <w:jc w:val="both"/>
      </w:pPr>
      <w:r w:rsidRPr="0080160C">
        <w:t>Im September 193</w:t>
      </w:r>
      <w:r w:rsidR="009B7953" w:rsidRPr="0080160C">
        <w:t>7</w:t>
      </w:r>
      <w:r w:rsidRPr="0080160C">
        <w:t xml:space="preserve"> ereilt Eva </w:t>
      </w:r>
      <w:proofErr w:type="spellStart"/>
      <w:r w:rsidRPr="0080160C">
        <w:t>Wysbar</w:t>
      </w:r>
      <w:proofErr w:type="spellEnd"/>
      <w:r w:rsidRPr="0080160C">
        <w:t xml:space="preserve"> das Schicksal: Ihr wird in einem italienischen Hotel ihr Pass gestohlen. Sie hatte aus Vorsicht üblicherweise nur in Pensionen oder kleinen Hotels übernachtet, weil da die mögliche Überwachung und Kontrolle durch den deutschen Gehei</w:t>
      </w:r>
      <w:r w:rsidRPr="0080160C">
        <w:t>m</w:t>
      </w:r>
      <w:r w:rsidRPr="0080160C">
        <w:t>dienst leichter zu bemerken war. Wegen Überfüllung der kleinen Hotels hatte sie in ein großes ausweichen müssen:</w:t>
      </w:r>
    </w:p>
    <w:p w:rsidR="003A7076" w:rsidRPr="0080160C" w:rsidRDefault="00664354" w:rsidP="00D87B79">
      <w:pPr>
        <w:spacing w:after="0"/>
        <w:ind w:left="567"/>
        <w:jc w:val="both"/>
      </w:pPr>
      <w:r w:rsidRPr="0080160C">
        <w:t>„Es wurde eine Liste sämtlicher deutscher Besucher und Emigranten angefertigt, von denen alle die, die sich nicht einwandfrei als Nazis ausweisen konnten, zur Zeit des B</w:t>
      </w:r>
      <w:r w:rsidRPr="0080160C">
        <w:t>e</w:t>
      </w:r>
      <w:r w:rsidRPr="0080160C">
        <w:t>suches [vermutlich von Hitler] in Schutzhaft genommen wurden. Ich war mir klar da</w:t>
      </w:r>
      <w:r w:rsidRPr="0080160C">
        <w:t>r</w:t>
      </w:r>
      <w:r w:rsidRPr="0080160C">
        <w:t>über, dass ich sofort ausziehen und mich so unsichtbar wie nur möglich hätte machen müssen – aber ich zog keine Konsequenzen aus dieser Erkenntnis.“</w:t>
      </w:r>
      <w:r w:rsidRPr="0080160C">
        <w:rPr>
          <w:rStyle w:val="Funotenzeichen"/>
        </w:rPr>
        <w:footnoteReference w:id="70"/>
      </w:r>
    </w:p>
    <w:p w:rsidR="003A7076" w:rsidRPr="0080160C" w:rsidRDefault="0034777C" w:rsidP="00D87B79">
      <w:pPr>
        <w:spacing w:after="0"/>
        <w:jc w:val="both"/>
      </w:pPr>
      <w:r w:rsidRPr="0080160C">
        <w:t>Es wird kein Wertgegenstand, kein Geld gestohlen – nur der Pass. Wer die Täter sind, liegt auf der Hand. Sie bekommt einen interimistischen Pass, den sie bei der Gestapo in Berlin a</w:t>
      </w:r>
      <w:r w:rsidRPr="0080160C">
        <w:t>b</w:t>
      </w:r>
      <w:r w:rsidRPr="0080160C">
        <w:t xml:space="preserve">zuliefern hat. Dort schätzt man die Lage, in der sie sich befindet, gleich richtig ein. Ironisch berichtet Eva </w:t>
      </w:r>
      <w:proofErr w:type="spellStart"/>
      <w:r w:rsidRPr="0080160C">
        <w:t>Wysbar</w:t>
      </w:r>
      <w:proofErr w:type="spellEnd"/>
      <w:r w:rsidRPr="0080160C">
        <w:t>:</w:t>
      </w:r>
    </w:p>
    <w:p w:rsidR="0034777C" w:rsidRPr="0080160C" w:rsidRDefault="0034777C" w:rsidP="00D87B79">
      <w:pPr>
        <w:spacing w:after="0"/>
        <w:ind w:left="567"/>
        <w:jc w:val="both"/>
      </w:pPr>
      <w:r w:rsidRPr="0080160C">
        <w:t xml:space="preserve">„Mein Gestapofreund am Alexanderplatz empfing mich mit breitem Grinsen. ‚Jetzt </w:t>
      </w:r>
      <w:proofErr w:type="spellStart"/>
      <w:r w:rsidRPr="0080160C">
        <w:t>müssense</w:t>
      </w:r>
      <w:proofErr w:type="spellEnd"/>
      <w:r w:rsidRPr="0080160C">
        <w:t xml:space="preserve"> auswandern‘, sagte er. Ich weigerte mich. ‚Rausschmeißen können wir Sie nicht‘, meinte mein Freund, ‚höchstens einsperren. Aber einen Pass gibt es nur noch zum Auswandern, das Rumreisen ist </w:t>
      </w:r>
      <w:proofErr w:type="spellStart"/>
      <w:r w:rsidRPr="0080160C">
        <w:t>zuende</w:t>
      </w:r>
      <w:proofErr w:type="spellEnd"/>
      <w:proofErr w:type="gramStart"/>
      <w:r w:rsidRPr="0080160C">
        <w:t>.‘</w:t>
      </w:r>
      <w:proofErr w:type="gramEnd"/>
      <w:r w:rsidRPr="0080160C">
        <w:t xml:space="preserve"> Die Falle war zu.“</w:t>
      </w:r>
      <w:r w:rsidRPr="0080160C">
        <w:rPr>
          <w:rStyle w:val="Funotenzeichen"/>
        </w:rPr>
        <w:footnoteReference w:id="71"/>
      </w:r>
    </w:p>
    <w:p w:rsidR="00ED1CBF" w:rsidRPr="0080160C" w:rsidRDefault="0034777C" w:rsidP="00D87B79">
      <w:pPr>
        <w:spacing w:after="0"/>
        <w:jc w:val="both"/>
      </w:pPr>
      <w:r w:rsidRPr="0080160C">
        <w:t xml:space="preserve">In dieser Situation meldet deuten sich Chancen an, </w:t>
      </w:r>
      <w:r w:rsidR="009B7953" w:rsidRPr="0080160C">
        <w:t xml:space="preserve">dass in den USA Interesse am Ankauf der Filmrechte für </w:t>
      </w:r>
      <w:r w:rsidR="009B7953" w:rsidRPr="0080160C">
        <w:rPr>
          <w:i/>
        </w:rPr>
        <w:t>Anna und Elisabeth</w:t>
      </w:r>
      <w:r w:rsidR="009B7953" w:rsidRPr="0080160C">
        <w:t xml:space="preserve"> besteht.</w:t>
      </w:r>
      <w:r w:rsidR="00ED1CBF" w:rsidRPr="0080160C">
        <w:t xml:space="preserve"> Damit gewinnt der Plan zu viert in die USA zu emigrieren, feste Konturen.</w:t>
      </w:r>
      <w:r w:rsidR="009B7953" w:rsidRPr="0080160C">
        <w:t xml:space="preserve"> Eva </w:t>
      </w:r>
      <w:proofErr w:type="spellStart"/>
      <w:r w:rsidR="009B7953" w:rsidRPr="0080160C">
        <w:t>Wysbar</w:t>
      </w:r>
      <w:proofErr w:type="spellEnd"/>
      <w:r w:rsidR="009B7953" w:rsidRPr="0080160C">
        <w:t xml:space="preserve"> versucht deshalb, für ihren Mann eine Einladung nach Hollywood zu bekommen. Sie erhält nach unendlichen Mühen tatsächlich noch einmal einen interimistischen Pass, allerdings </w:t>
      </w:r>
      <w:r w:rsidR="00ED1CBF" w:rsidRPr="0080160C">
        <w:t>nur aufgrund</w:t>
      </w:r>
      <w:r w:rsidR="009B7953" w:rsidRPr="0080160C">
        <w:t xml:space="preserve"> einer eidesstattlichen Erklärung, a</w:t>
      </w:r>
      <w:r w:rsidR="009B7953" w:rsidRPr="0080160C">
        <w:t>n</w:t>
      </w:r>
      <w:r w:rsidR="009B7953" w:rsidRPr="0080160C">
        <w:t xml:space="preserve">schließend Deutschland zu verlassen. </w:t>
      </w:r>
      <w:r w:rsidR="000A025C" w:rsidRPr="0080160C">
        <w:t>Das amerikanische Konsulat ist bereit, die Einreisep</w:t>
      </w:r>
      <w:r w:rsidR="000A025C" w:rsidRPr="0080160C">
        <w:t>a</w:t>
      </w:r>
      <w:r w:rsidR="000A025C" w:rsidRPr="0080160C">
        <w:t>piere im Ausland zu deponieren.</w:t>
      </w:r>
    </w:p>
    <w:p w:rsidR="00EA2D96" w:rsidRPr="0080160C" w:rsidRDefault="00ED1CBF" w:rsidP="00D87B79">
      <w:pPr>
        <w:spacing w:after="0"/>
        <w:ind w:firstLine="708"/>
        <w:jc w:val="both"/>
      </w:pPr>
      <w:r w:rsidRPr="0080160C">
        <w:t>Die Kinder besitzen eigene Reisepässe. Da Juden zu diesem Zeitpunkt die Pässe en</w:t>
      </w:r>
      <w:r w:rsidRPr="0080160C">
        <w:t>t</w:t>
      </w:r>
      <w:r w:rsidRPr="0080160C">
        <w:t xml:space="preserve">zogen werden, ist das ein Glücksfall. </w:t>
      </w:r>
      <w:r w:rsidR="009B7953" w:rsidRPr="0080160C">
        <w:t>E</w:t>
      </w:r>
      <w:r w:rsidRPr="0080160C">
        <w:t xml:space="preserve">rneut </w:t>
      </w:r>
      <w:r w:rsidR="009B7953" w:rsidRPr="0080160C">
        <w:t>wird</w:t>
      </w:r>
      <w:r w:rsidRPr="0080160C">
        <w:t>, damit die Gestapo keinen Verdacht schöpft,</w:t>
      </w:r>
      <w:r w:rsidR="009B7953" w:rsidRPr="0080160C">
        <w:t xml:space="preserve"> die </w:t>
      </w:r>
      <w:r w:rsidRPr="0080160C">
        <w:t>strikte</w:t>
      </w:r>
      <w:r w:rsidR="009B7953" w:rsidRPr="0080160C">
        <w:t xml:space="preserve"> Trennung der Ehepartner in die Wege geleitet und ebenso die separate Betreuung der Kinder durch ein Kindermädchen. </w:t>
      </w:r>
      <w:r w:rsidRPr="0080160C">
        <w:t xml:space="preserve">Frank </w:t>
      </w:r>
      <w:proofErr w:type="spellStart"/>
      <w:r w:rsidRPr="0080160C">
        <w:t>Wysbar</w:t>
      </w:r>
      <w:proofErr w:type="spellEnd"/>
      <w:r w:rsidRPr="0080160C">
        <w:t xml:space="preserve"> patrouilliert nächtlich um das Haus, in dem Eva </w:t>
      </w:r>
      <w:proofErr w:type="spellStart"/>
      <w:r w:rsidRPr="0080160C">
        <w:t>Wysbar</w:t>
      </w:r>
      <w:proofErr w:type="spellEnd"/>
      <w:r w:rsidRPr="0080160C">
        <w:t xml:space="preserve"> wohnt, um sie im Falle von Gefahr warnen zu können. Eva </w:t>
      </w:r>
      <w:proofErr w:type="spellStart"/>
      <w:r w:rsidRPr="0080160C">
        <w:t>Wysbar</w:t>
      </w:r>
      <w:proofErr w:type="spellEnd"/>
      <w:r w:rsidRPr="0080160C">
        <w:t xml:space="preserve"> fährt in die USA, kehrt dann</w:t>
      </w:r>
      <w:r w:rsidR="000A025C" w:rsidRPr="0080160C">
        <w:t xml:space="preserve"> noch einmal zurück und erhält die „Erlaubnis“ nach Italien auszuwa</w:t>
      </w:r>
      <w:r w:rsidR="000A025C" w:rsidRPr="0080160C">
        <w:t>n</w:t>
      </w:r>
      <w:r w:rsidR="000A025C" w:rsidRPr="0080160C">
        <w:t xml:space="preserve">dern. Im Juni 1938 verlassen die Kinder unter der Obhut der Kinderschwester Deutschland, </w:t>
      </w:r>
      <w:r w:rsidR="000A025C" w:rsidRPr="0080160C">
        <w:lastRenderedPageBreak/>
        <w:t xml:space="preserve">wenige Tage danach auch Eva </w:t>
      </w:r>
      <w:proofErr w:type="spellStart"/>
      <w:r w:rsidR="000A025C" w:rsidRPr="0080160C">
        <w:t>Wysbar</w:t>
      </w:r>
      <w:proofErr w:type="spellEnd"/>
      <w:r w:rsidR="000A025C" w:rsidRPr="0080160C">
        <w:t xml:space="preserve">. Im September wird die Scheidung ausgesprochen; im November 1938 erhält Frank </w:t>
      </w:r>
      <w:proofErr w:type="spellStart"/>
      <w:r w:rsidR="000A025C" w:rsidRPr="0080160C">
        <w:t>Wysbar</w:t>
      </w:r>
      <w:proofErr w:type="spellEnd"/>
      <w:r w:rsidR="000A025C" w:rsidRPr="0080160C">
        <w:t xml:space="preserve"> einen halbjährigen Urlaub für eine Reise in die USA. Er verlässt Deutschland in der Nacht vom 10. November Deutschland. – Die Gestapo, die erst im Nachhinein erkannte, dass sie überlistet worden war, beschlagnahmte anschließend den g</w:t>
      </w:r>
      <w:r w:rsidR="000A025C" w:rsidRPr="0080160C">
        <w:t>e</w:t>
      </w:r>
      <w:r w:rsidR="000A025C" w:rsidRPr="0080160C">
        <w:t xml:space="preserve">samten Besitz </w:t>
      </w:r>
      <w:r w:rsidR="00B92C53" w:rsidRPr="0080160C">
        <w:t xml:space="preserve">Eva </w:t>
      </w:r>
      <w:proofErr w:type="spellStart"/>
      <w:r w:rsidR="00B92C53" w:rsidRPr="0080160C">
        <w:t>Wysbars</w:t>
      </w:r>
      <w:proofErr w:type="spellEnd"/>
      <w:r w:rsidR="00B92C53" w:rsidRPr="0080160C">
        <w:t>, so dass sie ohne auch nur „einen Teelöffel“ zu besitzen, wie die Tochter formuliert,</w:t>
      </w:r>
      <w:r w:rsidR="00B92C53" w:rsidRPr="0080160C">
        <w:rPr>
          <w:rStyle w:val="Funotenzeichen"/>
        </w:rPr>
        <w:footnoteReference w:id="72"/>
      </w:r>
      <w:r w:rsidR="00B92C53" w:rsidRPr="0080160C">
        <w:t xml:space="preserve"> in den USA eintraf. – Mit der erfolgreichen Emigration der gesamten Familie in die USA hatte Eva </w:t>
      </w:r>
      <w:proofErr w:type="spellStart"/>
      <w:r w:rsidR="00B92C53" w:rsidRPr="0080160C">
        <w:t>Wysbar</w:t>
      </w:r>
      <w:proofErr w:type="spellEnd"/>
      <w:r w:rsidR="00B92C53" w:rsidRPr="0080160C">
        <w:t xml:space="preserve"> zumindest diesen Teil ihres Kampfes mit Goebbels gewonnen. </w:t>
      </w:r>
    </w:p>
    <w:p w:rsidR="00B92C53" w:rsidRDefault="00B92C53" w:rsidP="00D87B79">
      <w:pPr>
        <w:spacing w:after="0"/>
        <w:jc w:val="both"/>
      </w:pPr>
    </w:p>
    <w:p w:rsidR="0080160C" w:rsidRPr="0080160C" w:rsidRDefault="0080160C" w:rsidP="0080160C">
      <w:pPr>
        <w:spacing w:after="0"/>
        <w:jc w:val="right"/>
      </w:pPr>
      <w:r>
        <w:t xml:space="preserve">Erschienen in </w:t>
      </w:r>
      <w:r>
        <w:rPr>
          <w:i/>
        </w:rPr>
        <w:t>Exil</w:t>
      </w:r>
      <w:r>
        <w:t xml:space="preserve"> 29 (2009), H. 1, S. 54-74.</w:t>
      </w:r>
    </w:p>
    <w:sectPr w:rsidR="0080160C" w:rsidRPr="0080160C"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B2" w:rsidRDefault="006D2FB2" w:rsidP="00FE0FF1">
      <w:pPr>
        <w:spacing w:after="0" w:line="240" w:lineRule="auto"/>
      </w:pPr>
      <w:r>
        <w:separator/>
      </w:r>
    </w:p>
  </w:endnote>
  <w:endnote w:type="continuationSeparator" w:id="0">
    <w:p w:rsidR="006D2FB2" w:rsidRDefault="006D2FB2" w:rsidP="00FE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B2" w:rsidRDefault="006D2FB2" w:rsidP="00FE0FF1">
      <w:pPr>
        <w:spacing w:after="0" w:line="240" w:lineRule="auto"/>
      </w:pPr>
      <w:r>
        <w:separator/>
      </w:r>
    </w:p>
  </w:footnote>
  <w:footnote w:type="continuationSeparator" w:id="0">
    <w:p w:rsidR="006D2FB2" w:rsidRDefault="006D2FB2" w:rsidP="00FE0FF1">
      <w:pPr>
        <w:spacing w:after="0" w:line="240" w:lineRule="auto"/>
      </w:pPr>
      <w:r>
        <w:continuationSeparator/>
      </w:r>
    </w:p>
  </w:footnote>
  <w:footnote w:id="1">
    <w:p w:rsidR="008166F1" w:rsidRDefault="008166F1" w:rsidP="00D87B79">
      <w:pPr>
        <w:spacing w:after="0" w:line="240" w:lineRule="auto"/>
        <w:jc w:val="both"/>
      </w:pPr>
      <w:r>
        <w:rPr>
          <w:rStyle w:val="Funotenzeichen"/>
        </w:rPr>
        <w:footnoteRef/>
      </w:r>
      <w:r>
        <w:t xml:space="preserve"> </w:t>
      </w:r>
      <w:bookmarkStart w:id="0" w:name="_GoBack"/>
      <w:r w:rsidR="00C20AFC" w:rsidRPr="00C20AFC">
        <w:rPr>
          <w:sz w:val="20"/>
          <w:szCs w:val="20"/>
        </w:rPr>
        <w:t xml:space="preserve">Sebastian </w:t>
      </w:r>
      <w:r w:rsidRPr="00674336">
        <w:rPr>
          <w:sz w:val="20"/>
          <w:szCs w:val="20"/>
        </w:rPr>
        <w:t xml:space="preserve">Haffner an Harald Landry, Cambridge, 13.6.39). – Zitiert bei Georg </w:t>
      </w:r>
      <w:proofErr w:type="spellStart"/>
      <w:r w:rsidRPr="00674336">
        <w:rPr>
          <w:sz w:val="20"/>
          <w:szCs w:val="20"/>
        </w:rPr>
        <w:t>Wiesing</w:t>
      </w:r>
      <w:proofErr w:type="spellEnd"/>
      <w:r w:rsidRPr="00674336">
        <w:rPr>
          <w:sz w:val="20"/>
          <w:szCs w:val="20"/>
        </w:rPr>
        <w:t xml:space="preserve">-Brandes: „Der letzte Bohemien“ – Harald Landry und sein Freundeskreis. – In: </w:t>
      </w:r>
      <w:r w:rsidRPr="00674336">
        <w:rPr>
          <w:i/>
          <w:sz w:val="20"/>
          <w:szCs w:val="20"/>
        </w:rPr>
        <w:t>Exil</w:t>
      </w:r>
      <w:r w:rsidRPr="00674336">
        <w:rPr>
          <w:sz w:val="20"/>
          <w:szCs w:val="20"/>
        </w:rPr>
        <w:t xml:space="preserve"> 22 (2002), H. 2, S. 9-20, hier </w:t>
      </w:r>
      <w:bookmarkEnd w:id="0"/>
      <w:r w:rsidRPr="00674336">
        <w:rPr>
          <w:sz w:val="20"/>
          <w:szCs w:val="20"/>
        </w:rPr>
        <w:t>S. 19.</w:t>
      </w:r>
    </w:p>
  </w:footnote>
  <w:footnote w:id="2">
    <w:p w:rsidR="008166F1" w:rsidRDefault="008166F1" w:rsidP="00D87B79">
      <w:pPr>
        <w:pStyle w:val="Funotentext"/>
        <w:jc w:val="both"/>
      </w:pPr>
      <w:r>
        <w:rPr>
          <w:rStyle w:val="Funotenzeichen"/>
        </w:rPr>
        <w:footnoteRef/>
      </w:r>
      <w:r>
        <w:t xml:space="preserve"> </w:t>
      </w:r>
      <w:r w:rsidR="00C20AFC">
        <w:t xml:space="preserve">Sebastian </w:t>
      </w:r>
      <w:r w:rsidR="000C4DA3">
        <w:t xml:space="preserve">Haffner: </w:t>
      </w:r>
      <w:r w:rsidR="000C4DA3" w:rsidRPr="000C4DA3">
        <w:rPr>
          <w:i/>
        </w:rPr>
        <w:t>Geschichte</w:t>
      </w:r>
      <w:r w:rsidRPr="000C4DA3">
        <w:rPr>
          <w:i/>
        </w:rPr>
        <w:t xml:space="preserve"> eines Deutschen</w:t>
      </w:r>
      <w:r w:rsidR="00C20AFC">
        <w:t xml:space="preserve">. Die Erinnerungen 1914-1933. München 2002 (= </w:t>
      </w:r>
      <w:proofErr w:type="spellStart"/>
      <w:r w:rsidR="00C20AFC">
        <w:t>dtv</w:t>
      </w:r>
      <w:proofErr w:type="spellEnd"/>
      <w:r w:rsidR="00C20AFC">
        <w:t>. Bd. 30848)</w:t>
      </w:r>
      <w:r>
        <w:t>, S. 9.</w:t>
      </w:r>
    </w:p>
  </w:footnote>
  <w:footnote w:id="3">
    <w:p w:rsidR="008166F1" w:rsidRPr="00444859" w:rsidRDefault="008166F1">
      <w:pPr>
        <w:pStyle w:val="Funotentext"/>
        <w:rPr>
          <w:lang w:val="en-US"/>
        </w:rPr>
      </w:pPr>
      <w:r>
        <w:rPr>
          <w:rStyle w:val="Funotenzeichen"/>
        </w:rPr>
        <w:footnoteRef/>
      </w:r>
      <w:r w:rsidRPr="00444859">
        <w:rPr>
          <w:lang w:val="en-US"/>
        </w:rPr>
        <w:t xml:space="preserve"> </w:t>
      </w:r>
      <w:proofErr w:type="spellStart"/>
      <w:r w:rsidRPr="00444859">
        <w:rPr>
          <w:lang w:val="en-US"/>
        </w:rPr>
        <w:t>A.a.O</w:t>
      </w:r>
      <w:proofErr w:type="spellEnd"/>
      <w:r w:rsidRPr="00444859">
        <w:rPr>
          <w:lang w:val="en-US"/>
        </w:rPr>
        <w:t>., S. 140.</w:t>
      </w:r>
    </w:p>
  </w:footnote>
  <w:footnote w:id="4">
    <w:p w:rsidR="008166F1" w:rsidRPr="00444859" w:rsidRDefault="008166F1">
      <w:pPr>
        <w:pStyle w:val="Funotentext"/>
        <w:rPr>
          <w:lang w:val="en-US"/>
        </w:rPr>
      </w:pPr>
      <w:r>
        <w:rPr>
          <w:rStyle w:val="Funotenzeichen"/>
        </w:rPr>
        <w:footnoteRef/>
      </w:r>
      <w:r w:rsidRPr="00444859">
        <w:rPr>
          <w:lang w:val="en-US"/>
        </w:rPr>
        <w:t xml:space="preserve"> </w:t>
      </w:r>
      <w:proofErr w:type="spellStart"/>
      <w:proofErr w:type="gramStart"/>
      <w:r w:rsidRPr="00444859">
        <w:rPr>
          <w:lang w:val="en-US"/>
        </w:rPr>
        <w:t>Ebd</w:t>
      </w:r>
      <w:proofErr w:type="spellEnd"/>
      <w:r w:rsidRPr="00444859">
        <w:rPr>
          <w:lang w:val="en-US"/>
        </w:rPr>
        <w:t>.,</w:t>
      </w:r>
      <w:proofErr w:type="gramEnd"/>
      <w:r w:rsidRPr="00444859">
        <w:rPr>
          <w:lang w:val="en-US"/>
        </w:rPr>
        <w:t xml:space="preserve"> S. 193.</w:t>
      </w:r>
    </w:p>
  </w:footnote>
  <w:footnote w:id="5">
    <w:p w:rsidR="008166F1" w:rsidRPr="00444859" w:rsidRDefault="008166F1">
      <w:pPr>
        <w:pStyle w:val="Funotentext"/>
        <w:rPr>
          <w:lang w:val="en-US"/>
        </w:rPr>
      </w:pPr>
      <w:r>
        <w:rPr>
          <w:rStyle w:val="Funotenzeichen"/>
        </w:rPr>
        <w:footnoteRef/>
      </w:r>
      <w:r w:rsidRPr="00444859">
        <w:rPr>
          <w:lang w:val="en-US"/>
        </w:rPr>
        <w:t xml:space="preserve"> S. 195.</w:t>
      </w:r>
    </w:p>
  </w:footnote>
  <w:footnote w:id="6">
    <w:p w:rsidR="008166F1" w:rsidRPr="00444859" w:rsidRDefault="008166F1">
      <w:pPr>
        <w:pStyle w:val="Funotentext"/>
        <w:rPr>
          <w:lang w:val="en-US"/>
        </w:rPr>
      </w:pPr>
      <w:r>
        <w:rPr>
          <w:rStyle w:val="Funotenzeichen"/>
        </w:rPr>
        <w:footnoteRef/>
      </w:r>
      <w:r w:rsidRPr="00444859">
        <w:rPr>
          <w:lang w:val="en-US"/>
        </w:rPr>
        <w:t xml:space="preserve"> S. 124.</w:t>
      </w:r>
    </w:p>
  </w:footnote>
  <w:footnote w:id="7">
    <w:p w:rsidR="008166F1" w:rsidRDefault="008166F1">
      <w:pPr>
        <w:pStyle w:val="Funotentext"/>
      </w:pPr>
      <w:r>
        <w:rPr>
          <w:rStyle w:val="Funotenzeichen"/>
        </w:rPr>
        <w:footnoteRef/>
      </w:r>
      <w:r>
        <w:t xml:space="preserve"> S. 203.</w:t>
      </w:r>
    </w:p>
  </w:footnote>
  <w:footnote w:id="8">
    <w:p w:rsidR="008166F1" w:rsidRDefault="008166F1">
      <w:pPr>
        <w:pStyle w:val="Funotentext"/>
      </w:pPr>
      <w:r>
        <w:rPr>
          <w:rStyle w:val="Funotenzeichen"/>
        </w:rPr>
        <w:footnoteRef/>
      </w:r>
      <w:r>
        <w:t xml:space="preserve"> S. 146 f.</w:t>
      </w:r>
    </w:p>
  </w:footnote>
  <w:footnote w:id="9">
    <w:p w:rsidR="008166F1" w:rsidRDefault="008166F1">
      <w:pPr>
        <w:pStyle w:val="Funotentext"/>
      </w:pPr>
      <w:r>
        <w:rPr>
          <w:rStyle w:val="Funotenzeichen"/>
        </w:rPr>
        <w:footnoteRef/>
      </w:r>
      <w:r>
        <w:t xml:space="preserve"> S. 149.</w:t>
      </w:r>
    </w:p>
  </w:footnote>
  <w:footnote w:id="10">
    <w:p w:rsidR="008166F1" w:rsidRDefault="008166F1">
      <w:pPr>
        <w:pStyle w:val="Funotentext"/>
      </w:pPr>
      <w:r>
        <w:rPr>
          <w:rStyle w:val="Funotenzeichen"/>
        </w:rPr>
        <w:footnoteRef/>
      </w:r>
      <w:r>
        <w:t xml:space="preserve"> Ebd.</w:t>
      </w:r>
    </w:p>
  </w:footnote>
  <w:footnote w:id="11">
    <w:p w:rsidR="008166F1" w:rsidRDefault="008166F1">
      <w:pPr>
        <w:pStyle w:val="Funotentext"/>
      </w:pPr>
      <w:r>
        <w:rPr>
          <w:rStyle w:val="Funotenzeichen"/>
        </w:rPr>
        <w:footnoteRef/>
      </w:r>
      <w:r>
        <w:t xml:space="preserve"> Ebd.</w:t>
      </w:r>
    </w:p>
  </w:footnote>
  <w:footnote w:id="12">
    <w:p w:rsidR="008166F1" w:rsidRDefault="008166F1" w:rsidP="00D87B79">
      <w:pPr>
        <w:spacing w:after="0" w:line="240" w:lineRule="auto"/>
        <w:jc w:val="both"/>
      </w:pPr>
      <w:r>
        <w:rPr>
          <w:rStyle w:val="Funotenzeichen"/>
        </w:rPr>
        <w:footnoteRef/>
      </w:r>
      <w:r>
        <w:t xml:space="preserve"> </w:t>
      </w:r>
      <w:r w:rsidRPr="00C34B69">
        <w:rPr>
          <w:sz w:val="20"/>
          <w:szCs w:val="20"/>
        </w:rPr>
        <w:t xml:space="preserve">Der Ausschreibungstext ist reproduziert bei Käthe </w:t>
      </w:r>
      <w:proofErr w:type="spellStart"/>
      <w:r w:rsidRPr="00C34B69">
        <w:rPr>
          <w:sz w:val="20"/>
          <w:szCs w:val="20"/>
        </w:rPr>
        <w:t>Vordtriede</w:t>
      </w:r>
      <w:proofErr w:type="spellEnd"/>
      <w:r w:rsidRPr="00C34B69">
        <w:rPr>
          <w:sz w:val="20"/>
          <w:szCs w:val="20"/>
        </w:rPr>
        <w:t xml:space="preserve">: </w:t>
      </w:r>
      <w:r w:rsidRPr="00C34B69">
        <w:rPr>
          <w:i/>
          <w:sz w:val="20"/>
          <w:szCs w:val="20"/>
        </w:rPr>
        <w:t>„Es gibt Zeiten, in denen man welkt“</w:t>
      </w:r>
      <w:r w:rsidR="00C34B69">
        <w:rPr>
          <w:i/>
          <w:sz w:val="20"/>
          <w:szCs w:val="20"/>
        </w:rPr>
        <w:t>.</w:t>
      </w:r>
      <w:r w:rsidRPr="00C34B69">
        <w:rPr>
          <w:sz w:val="20"/>
          <w:szCs w:val="20"/>
        </w:rPr>
        <w:t xml:space="preserve"> </w:t>
      </w:r>
      <w:r w:rsidR="00C34B69" w:rsidRPr="00C34B69">
        <w:rPr>
          <w:sz w:val="20"/>
          <w:szCs w:val="20"/>
        </w:rPr>
        <w:t xml:space="preserve">Mein Leben in Deutschland vor und nach 1933. </w:t>
      </w:r>
      <w:proofErr w:type="spellStart"/>
      <w:r w:rsidR="00C34B69" w:rsidRPr="00C34B69">
        <w:rPr>
          <w:sz w:val="20"/>
          <w:szCs w:val="20"/>
        </w:rPr>
        <w:t>Lengwil</w:t>
      </w:r>
      <w:proofErr w:type="spellEnd"/>
      <w:r w:rsidR="00C34B69" w:rsidRPr="00C34B69">
        <w:rPr>
          <w:sz w:val="20"/>
          <w:szCs w:val="20"/>
        </w:rPr>
        <w:t xml:space="preserve"> 1999</w:t>
      </w:r>
      <w:r>
        <w:t xml:space="preserve">, </w:t>
      </w:r>
      <w:r w:rsidRPr="00C34B69">
        <w:rPr>
          <w:sz w:val="20"/>
          <w:szCs w:val="20"/>
        </w:rPr>
        <w:t>S. 10.</w:t>
      </w:r>
    </w:p>
  </w:footnote>
  <w:footnote w:id="13">
    <w:p w:rsidR="008166F1" w:rsidRPr="00B22F27" w:rsidRDefault="008166F1" w:rsidP="00D87B79">
      <w:pPr>
        <w:pStyle w:val="Funotentext"/>
        <w:jc w:val="both"/>
      </w:pPr>
      <w:r>
        <w:rPr>
          <w:rStyle w:val="Funotenzeichen"/>
        </w:rPr>
        <w:footnoteRef/>
      </w:r>
      <w:r>
        <w:t xml:space="preserve"> Die Angaben folgen Liliane </w:t>
      </w:r>
      <w:proofErr w:type="spellStart"/>
      <w:r>
        <w:t>Weissberg</w:t>
      </w:r>
      <w:proofErr w:type="spellEnd"/>
      <w:r>
        <w:t xml:space="preserve">: Preisfragen zu einem Leben in Deutschland vor und nach 1933 – das Beispiel Karl Löwith. – In: </w:t>
      </w:r>
      <w:r>
        <w:rPr>
          <w:i/>
        </w:rPr>
        <w:t>Exil</w:t>
      </w:r>
      <w:r>
        <w:t xml:space="preserve"> 18 (1998), H. 2, S. 14 – 23, hier S. 15.</w:t>
      </w:r>
    </w:p>
  </w:footnote>
  <w:footnote w:id="14">
    <w:p w:rsidR="008166F1" w:rsidRDefault="008166F1" w:rsidP="00D87B79">
      <w:pPr>
        <w:pStyle w:val="Funotentext"/>
        <w:jc w:val="both"/>
      </w:pPr>
      <w:r>
        <w:rPr>
          <w:rStyle w:val="Funotenzeichen"/>
        </w:rPr>
        <w:footnoteRef/>
      </w:r>
      <w:r>
        <w:t xml:space="preserve"> So in: </w:t>
      </w:r>
      <w:r w:rsidRPr="00C34B69">
        <w:rPr>
          <w:i/>
        </w:rPr>
        <w:t>Jüdisches Leben in Deutschland</w:t>
      </w:r>
      <w:r>
        <w:t xml:space="preserve">. Selbstzeugnisse zur Sozialgeschichte 1918-1945. Hrsg. von Monika </w:t>
      </w:r>
      <w:proofErr w:type="spellStart"/>
      <w:r>
        <w:t>Richarz</w:t>
      </w:r>
      <w:proofErr w:type="spellEnd"/>
      <w:r>
        <w:t xml:space="preserve">. Stuttgart 1982; ebenfalls in: </w:t>
      </w:r>
      <w:r w:rsidRPr="00F360B0">
        <w:rPr>
          <w:i/>
        </w:rPr>
        <w:t>Die Verfolgung und Ermordung der europäischen Juden durch das nati</w:t>
      </w:r>
      <w:r w:rsidRPr="00F360B0">
        <w:rPr>
          <w:i/>
        </w:rPr>
        <w:t>o</w:t>
      </w:r>
      <w:r w:rsidRPr="00F360B0">
        <w:rPr>
          <w:i/>
        </w:rPr>
        <w:t>nalsozialistische Deutschland 1933 – 1945</w:t>
      </w:r>
      <w:r>
        <w:t xml:space="preserve">. Bd. 1: </w:t>
      </w:r>
      <w:r w:rsidRPr="00F360B0">
        <w:rPr>
          <w:i/>
        </w:rPr>
        <w:t>Deutsches Reich 1933-1937</w:t>
      </w:r>
      <w:r>
        <w:t xml:space="preserve">. Bearbeitet von Wolf Gruner. München 2008. – Angaben zu weiteren Veröffentlichungen bei Eva D. Becker: Autobiographie im Exil. – In: </w:t>
      </w:r>
      <w:r>
        <w:rPr>
          <w:i/>
        </w:rPr>
        <w:t>Exil</w:t>
      </w:r>
      <w:r>
        <w:t xml:space="preserve"> 20 (2000), H. 2, S. 15 – 27.</w:t>
      </w:r>
    </w:p>
  </w:footnote>
  <w:footnote w:id="15">
    <w:p w:rsidR="008166F1" w:rsidRDefault="008166F1" w:rsidP="00D87B79">
      <w:pPr>
        <w:pStyle w:val="Funotentext"/>
        <w:jc w:val="both"/>
      </w:pPr>
      <w:r>
        <w:rPr>
          <w:rStyle w:val="Funotenzeichen"/>
        </w:rPr>
        <w:footnoteRef/>
      </w:r>
      <w:r>
        <w:t xml:space="preserve"> </w:t>
      </w:r>
      <w:r w:rsidRPr="00F360B0">
        <w:rPr>
          <w:i/>
        </w:rPr>
        <w:t xml:space="preserve">Das Tagebuch der Hertha </w:t>
      </w:r>
      <w:proofErr w:type="spellStart"/>
      <w:r w:rsidRPr="00F360B0">
        <w:rPr>
          <w:i/>
        </w:rPr>
        <w:t>Nathorff</w:t>
      </w:r>
      <w:proofErr w:type="spellEnd"/>
      <w:r>
        <w:t>. Berlin – New York. Aufzeichnungen 1933 bis 1945. Hrsg. von Wolfgang Benz. München 1987 (= Schriftenreihe der Vierteljahreshefte für Zeitgeschichte. Bd. 54).</w:t>
      </w:r>
    </w:p>
  </w:footnote>
  <w:footnote w:id="16">
    <w:p w:rsidR="008166F1" w:rsidRDefault="008166F1" w:rsidP="00D87B79">
      <w:pPr>
        <w:pStyle w:val="Funotentext"/>
        <w:jc w:val="both"/>
      </w:pPr>
      <w:r>
        <w:rPr>
          <w:rStyle w:val="Funotenzeichen"/>
        </w:rPr>
        <w:footnoteRef/>
      </w:r>
      <w:r>
        <w:t xml:space="preserve"> 1938 wird den jüdischen Ärzten die Berufsbezeichnung und die Approbation entzogen; sie müssen sich nu</w:t>
      </w:r>
      <w:r>
        <w:t>n</w:t>
      </w:r>
      <w:r>
        <w:t>mehr „</w:t>
      </w:r>
      <w:proofErr w:type="spellStart"/>
      <w:r>
        <w:t>Krankenbehandler</w:t>
      </w:r>
      <w:proofErr w:type="spellEnd"/>
      <w:r>
        <w:t>“ nennen und dürfen nur noch jüdische Patienten behandeln; am Hauseingang muss groß und deutlich sichtbar ein Praxisschild mit dem Davidstern angebracht sein.</w:t>
      </w:r>
    </w:p>
  </w:footnote>
  <w:footnote w:id="17">
    <w:p w:rsidR="008166F1" w:rsidRDefault="008166F1" w:rsidP="00D87B79">
      <w:pPr>
        <w:pStyle w:val="Funotentext"/>
        <w:jc w:val="both"/>
      </w:pPr>
      <w:r>
        <w:rPr>
          <w:rStyle w:val="Funotenzeichen"/>
        </w:rPr>
        <w:footnoteRef/>
      </w:r>
      <w:r>
        <w:t xml:space="preserve"> Alfred </w:t>
      </w:r>
      <w:proofErr w:type="spellStart"/>
      <w:r>
        <w:t>Hugenberg</w:t>
      </w:r>
      <w:proofErr w:type="spellEnd"/>
      <w:r>
        <w:t xml:space="preserve">, Mitbegründer des Alldeutschen Verbandes, war durch die Übernahme des </w:t>
      </w:r>
      <w:proofErr w:type="spellStart"/>
      <w:r>
        <w:t>Scherl</w:t>
      </w:r>
      <w:proofErr w:type="spellEnd"/>
      <w:r>
        <w:t xml:space="preserve">-Verlages die beherrschende Gestalt des deutschen Pressewesens vor 1933. Er war Minister in Hitlers erstem Kabinett. </w:t>
      </w:r>
    </w:p>
  </w:footnote>
  <w:footnote w:id="18">
    <w:p w:rsidR="008166F1" w:rsidRDefault="008166F1" w:rsidP="00D87B79">
      <w:pPr>
        <w:pStyle w:val="Funotentext"/>
        <w:jc w:val="both"/>
      </w:pPr>
      <w:r>
        <w:rPr>
          <w:rStyle w:val="Funotenzeichen"/>
        </w:rPr>
        <w:footnoteRef/>
      </w:r>
      <w:r>
        <w:t xml:space="preserve"> S. 25.</w:t>
      </w:r>
    </w:p>
  </w:footnote>
  <w:footnote w:id="19">
    <w:p w:rsidR="008166F1" w:rsidRDefault="008166F1" w:rsidP="00CB0238">
      <w:pPr>
        <w:pStyle w:val="Funotentext"/>
      </w:pPr>
      <w:r>
        <w:rPr>
          <w:rStyle w:val="Funotenzeichen"/>
        </w:rPr>
        <w:footnoteRef/>
      </w:r>
      <w:r>
        <w:t xml:space="preserve"> </w:t>
      </w:r>
      <w:r w:rsidRPr="00444859">
        <w:rPr>
          <w:i/>
        </w:rPr>
        <w:t>Tagebuch</w:t>
      </w:r>
      <w:r>
        <w:t>, S. 14. – Hervorhebungen F.T.</w:t>
      </w:r>
    </w:p>
  </w:footnote>
  <w:footnote w:id="20">
    <w:p w:rsidR="008166F1" w:rsidRDefault="008166F1">
      <w:pPr>
        <w:pStyle w:val="Funotentext"/>
      </w:pPr>
      <w:r>
        <w:rPr>
          <w:rStyle w:val="Funotenzeichen"/>
        </w:rPr>
        <w:footnoteRef/>
      </w:r>
      <w:r>
        <w:t xml:space="preserve"> S. 35.</w:t>
      </w:r>
    </w:p>
  </w:footnote>
  <w:footnote w:id="21">
    <w:p w:rsidR="008166F1" w:rsidRDefault="008166F1">
      <w:pPr>
        <w:pStyle w:val="Funotentext"/>
      </w:pPr>
      <w:r>
        <w:rPr>
          <w:rStyle w:val="Funotenzeichen"/>
        </w:rPr>
        <w:footnoteRef/>
      </w:r>
      <w:r>
        <w:t xml:space="preserve"> S. 38 f.</w:t>
      </w:r>
    </w:p>
  </w:footnote>
  <w:footnote w:id="22">
    <w:p w:rsidR="008166F1" w:rsidRDefault="008166F1">
      <w:pPr>
        <w:pStyle w:val="Funotentext"/>
      </w:pPr>
      <w:r>
        <w:rPr>
          <w:rStyle w:val="Funotenzeichen"/>
        </w:rPr>
        <w:footnoteRef/>
      </w:r>
      <w:r>
        <w:t xml:space="preserve"> S. 39.</w:t>
      </w:r>
    </w:p>
  </w:footnote>
  <w:footnote w:id="23">
    <w:p w:rsidR="008166F1" w:rsidRDefault="008166F1" w:rsidP="00D87B79">
      <w:pPr>
        <w:pStyle w:val="Funotentext"/>
        <w:jc w:val="both"/>
      </w:pPr>
      <w:r>
        <w:rPr>
          <w:rStyle w:val="Funotenzeichen"/>
        </w:rPr>
        <w:footnoteRef/>
      </w:r>
      <w:r>
        <w:t xml:space="preserve"> Jean </w:t>
      </w:r>
      <w:proofErr w:type="spellStart"/>
      <w:r>
        <w:t>Améry</w:t>
      </w:r>
      <w:proofErr w:type="spellEnd"/>
      <w:r>
        <w:t xml:space="preserve">: Die Tortur. – In: </w:t>
      </w:r>
      <w:proofErr w:type="spellStart"/>
      <w:r>
        <w:t>ders</w:t>
      </w:r>
      <w:proofErr w:type="spellEnd"/>
      <w:r>
        <w:t xml:space="preserve">.: </w:t>
      </w:r>
      <w:r w:rsidRPr="00444859">
        <w:rPr>
          <w:i/>
        </w:rPr>
        <w:t>Jenseits von Schuld und Sühne</w:t>
      </w:r>
      <w:r>
        <w:t>. Bewältigungsversuche eines Überwälti</w:t>
      </w:r>
      <w:r>
        <w:t>g</w:t>
      </w:r>
      <w:r>
        <w:t>ten. München 1988, S. 44.</w:t>
      </w:r>
    </w:p>
  </w:footnote>
  <w:footnote w:id="24">
    <w:p w:rsidR="008166F1" w:rsidRDefault="008166F1" w:rsidP="00D87B79">
      <w:pPr>
        <w:pStyle w:val="Funotentext"/>
        <w:jc w:val="both"/>
      </w:pPr>
      <w:r>
        <w:rPr>
          <w:rStyle w:val="Funotenzeichen"/>
        </w:rPr>
        <w:footnoteRef/>
      </w:r>
      <w:r>
        <w:t xml:space="preserve"> S. 40.</w:t>
      </w:r>
    </w:p>
  </w:footnote>
  <w:footnote w:id="25">
    <w:p w:rsidR="008166F1" w:rsidRDefault="008166F1" w:rsidP="00D87B79">
      <w:pPr>
        <w:pStyle w:val="Funotentext"/>
        <w:jc w:val="both"/>
      </w:pPr>
      <w:r>
        <w:rPr>
          <w:rStyle w:val="Funotenzeichen"/>
        </w:rPr>
        <w:footnoteRef/>
      </w:r>
      <w:r>
        <w:t xml:space="preserve"> Karl Löwith: </w:t>
      </w:r>
      <w:r w:rsidRPr="00444859">
        <w:rPr>
          <w:i/>
        </w:rPr>
        <w:t>Mein Leben in Deutschland vor und nach 1933</w:t>
      </w:r>
      <w:r>
        <w:t>. Ein Bericht. Frankfurt a.M. 1989.</w:t>
      </w:r>
      <w:r w:rsidR="004038AF">
        <w:t xml:space="preserve"> – Löwith war nach Maßgabe der nationalsozialistischen Rassengesetzgebung „Halbjude“ und er war Protestant.</w:t>
      </w:r>
    </w:p>
  </w:footnote>
  <w:footnote w:id="26">
    <w:p w:rsidR="008166F1" w:rsidRDefault="008166F1" w:rsidP="00302FA4">
      <w:pPr>
        <w:pStyle w:val="Funotentext"/>
      </w:pPr>
      <w:r>
        <w:rPr>
          <w:rStyle w:val="Funotenzeichen"/>
        </w:rPr>
        <w:footnoteRef/>
      </w:r>
      <w:r>
        <w:t xml:space="preserve"> S. 74.</w:t>
      </w:r>
    </w:p>
  </w:footnote>
  <w:footnote w:id="27">
    <w:p w:rsidR="008166F1" w:rsidRDefault="008166F1" w:rsidP="00302FA4">
      <w:pPr>
        <w:pStyle w:val="Funotentext"/>
      </w:pPr>
      <w:r>
        <w:rPr>
          <w:rStyle w:val="Funotenzeichen"/>
        </w:rPr>
        <w:footnoteRef/>
      </w:r>
      <w:r>
        <w:t xml:space="preserve"> Ebd.</w:t>
      </w:r>
    </w:p>
  </w:footnote>
  <w:footnote w:id="28">
    <w:p w:rsidR="008166F1" w:rsidRDefault="008166F1" w:rsidP="00D87B79">
      <w:pPr>
        <w:pStyle w:val="Funotentext"/>
        <w:jc w:val="both"/>
      </w:pPr>
      <w:r>
        <w:rPr>
          <w:rStyle w:val="Funotenzeichen"/>
        </w:rPr>
        <w:footnoteRef/>
      </w:r>
      <w:r>
        <w:t xml:space="preserve"> In These 4 heißt es: „</w:t>
      </w:r>
      <w:r>
        <w:rPr>
          <w:i/>
        </w:rPr>
        <w:t>Unser Widersach</w:t>
      </w:r>
      <w:r w:rsidR="00444859">
        <w:rPr>
          <w:i/>
        </w:rPr>
        <w:t>er</w:t>
      </w:r>
      <w:r>
        <w:rPr>
          <w:i/>
        </w:rPr>
        <w:t xml:space="preserve"> ist der Jude und der, der ihm hörig ist</w:t>
      </w:r>
      <w:r>
        <w:t xml:space="preserve">“, und in These 5: „Der Jude, der nur jüdisch denken kann, der aber deutsch schreibt, </w:t>
      </w:r>
      <w:r>
        <w:rPr>
          <w:i/>
        </w:rPr>
        <w:t>lügt.</w:t>
      </w:r>
      <w:r>
        <w:t xml:space="preserve"> […]“. – Vgl. </w:t>
      </w:r>
      <w:r w:rsidRPr="00444859">
        <w:rPr>
          <w:i/>
        </w:rPr>
        <w:t>Die Bücherverbrennung</w:t>
      </w:r>
      <w:r>
        <w:t xml:space="preserve">. Zum 10. Mai 1933. Hrsg. von Gerhard </w:t>
      </w:r>
      <w:proofErr w:type="spellStart"/>
      <w:r>
        <w:t>Sauder</w:t>
      </w:r>
      <w:proofErr w:type="spellEnd"/>
      <w:r>
        <w:t>. München 1983, S. 92.</w:t>
      </w:r>
    </w:p>
  </w:footnote>
  <w:footnote w:id="29">
    <w:p w:rsidR="008166F1" w:rsidRDefault="008166F1" w:rsidP="00302FA4">
      <w:pPr>
        <w:pStyle w:val="Funotentext"/>
      </w:pPr>
      <w:r>
        <w:rPr>
          <w:rStyle w:val="Funotenzeichen"/>
        </w:rPr>
        <w:footnoteRef/>
      </w:r>
      <w:r>
        <w:t xml:space="preserve"> Löwith, S. 75.</w:t>
      </w:r>
    </w:p>
  </w:footnote>
  <w:footnote w:id="30">
    <w:p w:rsidR="008166F1" w:rsidRDefault="008166F1" w:rsidP="00302FA4">
      <w:pPr>
        <w:pStyle w:val="Funotentext"/>
      </w:pPr>
      <w:r>
        <w:rPr>
          <w:rStyle w:val="Funotenzeichen"/>
        </w:rPr>
        <w:footnoteRef/>
      </w:r>
      <w:r>
        <w:t xml:space="preserve"> S. 76.</w:t>
      </w:r>
    </w:p>
  </w:footnote>
  <w:footnote w:id="31">
    <w:p w:rsidR="008166F1" w:rsidRDefault="008166F1" w:rsidP="00D87B79">
      <w:pPr>
        <w:pStyle w:val="Funotentext"/>
        <w:jc w:val="both"/>
      </w:pPr>
      <w:r>
        <w:rPr>
          <w:rStyle w:val="Funotenzeichen"/>
        </w:rPr>
        <w:footnoteRef/>
      </w:r>
      <w:r>
        <w:t xml:space="preserve"> S. 26. – Löwith bezieht sich hier auf A. Grunsky: Der Einbruch des Judentums in die Philosophie (1937).</w:t>
      </w:r>
    </w:p>
  </w:footnote>
  <w:footnote w:id="32">
    <w:p w:rsidR="008166F1" w:rsidRDefault="008166F1" w:rsidP="00D87B79">
      <w:pPr>
        <w:pStyle w:val="Funotentext"/>
        <w:jc w:val="both"/>
      </w:pPr>
      <w:r>
        <w:rPr>
          <w:rStyle w:val="Funotenzeichen"/>
        </w:rPr>
        <w:footnoteRef/>
      </w:r>
      <w:r>
        <w:t xml:space="preserve"> Peter </w:t>
      </w:r>
      <w:proofErr w:type="spellStart"/>
      <w:r>
        <w:t>Thullen</w:t>
      </w:r>
      <w:proofErr w:type="spellEnd"/>
      <w:r>
        <w:t xml:space="preserve">: Erinnerungsbericht für meine Kinder. – In: </w:t>
      </w:r>
      <w:r>
        <w:rPr>
          <w:i/>
        </w:rPr>
        <w:t>Exil</w:t>
      </w:r>
      <w:r>
        <w:t xml:space="preserve"> 20 (2000), H. 1, S. 44 – 57. Vgl. auch Reinhard Siegmund-Schultze: Die autobiographischen Aufzeichnungen Peter </w:t>
      </w:r>
      <w:proofErr w:type="spellStart"/>
      <w:r>
        <w:t>Thullens</w:t>
      </w:r>
      <w:proofErr w:type="spellEnd"/>
      <w:r>
        <w:t>, ebd., S. 58 – 66.</w:t>
      </w:r>
    </w:p>
  </w:footnote>
  <w:footnote w:id="33">
    <w:p w:rsidR="008166F1" w:rsidRDefault="008166F1" w:rsidP="00D87B79">
      <w:pPr>
        <w:pStyle w:val="Funotentext"/>
        <w:jc w:val="both"/>
      </w:pPr>
      <w:r>
        <w:rPr>
          <w:rStyle w:val="Funotenzeichen"/>
        </w:rPr>
        <w:footnoteRef/>
      </w:r>
      <w:r>
        <w:t xml:space="preserve"> Löwith, S. 32.</w:t>
      </w:r>
    </w:p>
  </w:footnote>
  <w:footnote w:id="34">
    <w:p w:rsidR="008166F1" w:rsidRDefault="008166F1" w:rsidP="00D87B79">
      <w:pPr>
        <w:pStyle w:val="Funotentext"/>
        <w:jc w:val="both"/>
      </w:pPr>
      <w:r>
        <w:rPr>
          <w:rStyle w:val="Funotenzeichen"/>
        </w:rPr>
        <w:footnoteRef/>
      </w:r>
      <w:r>
        <w:t xml:space="preserve"> Löwith, S. 27 – Hervorhebung F.T. – Der „Unmut über die Zeit“ ist offenbar ein Phänomen, das Löwith selber stark betraf. Auch er suchte – zeitweilig – im George-Kreis „Erlösung“. Die Distanzierung Löwiths gegenüber dem George-Kreis wie gegenüber Heidegger ist jedoch unmissverständlich.</w:t>
      </w:r>
    </w:p>
  </w:footnote>
  <w:footnote w:id="35">
    <w:p w:rsidR="008166F1" w:rsidRDefault="008166F1" w:rsidP="00302FA4">
      <w:pPr>
        <w:pStyle w:val="Funotentext"/>
      </w:pPr>
      <w:r>
        <w:rPr>
          <w:rStyle w:val="Funotenzeichen"/>
        </w:rPr>
        <w:footnoteRef/>
      </w:r>
      <w:r>
        <w:t xml:space="preserve"> S. 33.</w:t>
      </w:r>
    </w:p>
  </w:footnote>
  <w:footnote w:id="36">
    <w:p w:rsidR="008166F1" w:rsidRDefault="008166F1" w:rsidP="00302FA4">
      <w:pPr>
        <w:pStyle w:val="Funotentext"/>
      </w:pPr>
      <w:r>
        <w:rPr>
          <w:rStyle w:val="Funotenzeichen"/>
        </w:rPr>
        <w:footnoteRef/>
      </w:r>
      <w:r>
        <w:t xml:space="preserve"> S. 36 f.</w:t>
      </w:r>
    </w:p>
  </w:footnote>
  <w:footnote w:id="37">
    <w:p w:rsidR="008166F1" w:rsidRDefault="008166F1" w:rsidP="00302FA4">
      <w:pPr>
        <w:pStyle w:val="Funotentext"/>
      </w:pPr>
      <w:r>
        <w:rPr>
          <w:rStyle w:val="Funotenzeichen"/>
        </w:rPr>
        <w:footnoteRef/>
      </w:r>
      <w:r>
        <w:t xml:space="preserve"> S. 39.</w:t>
      </w:r>
    </w:p>
  </w:footnote>
  <w:footnote w:id="38">
    <w:p w:rsidR="008166F1" w:rsidRDefault="008166F1" w:rsidP="00302FA4">
      <w:pPr>
        <w:pStyle w:val="Funotentext"/>
      </w:pPr>
      <w:r>
        <w:rPr>
          <w:rStyle w:val="Funotenzeichen"/>
        </w:rPr>
        <w:footnoteRef/>
      </w:r>
      <w:r>
        <w:t xml:space="preserve"> S. 57</w:t>
      </w:r>
    </w:p>
  </w:footnote>
  <w:footnote w:id="39">
    <w:p w:rsidR="008166F1" w:rsidRDefault="008166F1" w:rsidP="00302FA4">
      <w:pPr>
        <w:pStyle w:val="Funotentext"/>
      </w:pPr>
      <w:r>
        <w:rPr>
          <w:rStyle w:val="Funotenzeichen"/>
        </w:rPr>
        <w:footnoteRef/>
      </w:r>
      <w:r>
        <w:t xml:space="preserve"> S. 9 f.</w:t>
      </w:r>
    </w:p>
  </w:footnote>
  <w:footnote w:id="40">
    <w:p w:rsidR="008166F1" w:rsidRDefault="008166F1" w:rsidP="00302FA4">
      <w:pPr>
        <w:pStyle w:val="Funotentext"/>
      </w:pPr>
      <w:r>
        <w:rPr>
          <w:rStyle w:val="Funotenzeichen"/>
        </w:rPr>
        <w:footnoteRef/>
      </w:r>
      <w:r>
        <w:t xml:space="preserve"> S. 11.</w:t>
      </w:r>
    </w:p>
  </w:footnote>
  <w:footnote w:id="41">
    <w:p w:rsidR="00B601E1" w:rsidRDefault="00B601E1">
      <w:pPr>
        <w:pStyle w:val="Funotentext"/>
      </w:pPr>
      <w:r>
        <w:rPr>
          <w:rStyle w:val="Funotenzeichen"/>
        </w:rPr>
        <w:footnoteRef/>
      </w:r>
      <w:r>
        <w:t xml:space="preserve"> Gemeint ist vermutlich das Freie Jüdische </w:t>
      </w:r>
      <w:proofErr w:type="spellStart"/>
      <w:r>
        <w:t>Lehrhaus</w:t>
      </w:r>
      <w:proofErr w:type="spellEnd"/>
      <w:r>
        <w:t xml:space="preserve"> in Frankfurt a.M.</w:t>
      </w:r>
    </w:p>
  </w:footnote>
  <w:footnote w:id="42">
    <w:p w:rsidR="008166F1" w:rsidRDefault="008166F1" w:rsidP="00302FA4">
      <w:pPr>
        <w:pStyle w:val="Funotentext"/>
      </w:pPr>
      <w:r>
        <w:rPr>
          <w:rStyle w:val="Funotenzeichen"/>
        </w:rPr>
        <w:footnoteRef/>
      </w:r>
      <w:r>
        <w:t xml:space="preserve"> S. 131 f.</w:t>
      </w:r>
    </w:p>
  </w:footnote>
  <w:footnote w:id="43">
    <w:p w:rsidR="008166F1" w:rsidRDefault="008166F1" w:rsidP="001044CF">
      <w:pPr>
        <w:pStyle w:val="Funotentext"/>
      </w:pPr>
      <w:r>
        <w:rPr>
          <w:rStyle w:val="Funotenzeichen"/>
        </w:rPr>
        <w:footnoteRef/>
      </w:r>
      <w:r>
        <w:t xml:space="preserve"> Peter Reichel: </w:t>
      </w:r>
      <w:r w:rsidRPr="000C4DA3">
        <w:rPr>
          <w:i/>
        </w:rPr>
        <w:t>Der schöne Schein des Dritten Reiches</w:t>
      </w:r>
      <w:r>
        <w:t>. Hamburg 2006, S. 224 ff.</w:t>
      </w:r>
    </w:p>
  </w:footnote>
  <w:footnote w:id="44">
    <w:p w:rsidR="008166F1" w:rsidRDefault="008166F1" w:rsidP="00D87B79">
      <w:pPr>
        <w:pStyle w:val="Funotentext"/>
        <w:jc w:val="both"/>
      </w:pPr>
      <w:r>
        <w:rPr>
          <w:rStyle w:val="Funotenzeichen"/>
        </w:rPr>
        <w:footnoteRef/>
      </w:r>
      <w:r>
        <w:t xml:space="preserve"> Vgl. entsprechende Abbildungen in Hans Daiber: </w:t>
      </w:r>
      <w:r w:rsidRPr="000C4DA3">
        <w:rPr>
          <w:i/>
        </w:rPr>
        <w:t>Schaufenster der Diktatur.</w:t>
      </w:r>
      <w:r>
        <w:t xml:space="preserve"> Theater im Machtbereich Hitlers. Stuttgart 1995.</w:t>
      </w:r>
    </w:p>
  </w:footnote>
  <w:footnote w:id="45">
    <w:p w:rsidR="008166F1" w:rsidRDefault="008166F1" w:rsidP="00D87B79">
      <w:pPr>
        <w:pStyle w:val="Funotentext"/>
        <w:jc w:val="both"/>
      </w:pPr>
      <w:r>
        <w:rPr>
          <w:rStyle w:val="Funotenzeichen"/>
        </w:rPr>
        <w:footnoteRef/>
      </w:r>
      <w:r>
        <w:t xml:space="preserve"> Zu den „Sondergenehmigungen“ vgl. Bärbel Schrader: </w:t>
      </w:r>
      <w:r w:rsidRPr="000C4DA3">
        <w:rPr>
          <w:i/>
        </w:rPr>
        <w:t>„Jederzeit widerruflich“.</w:t>
      </w:r>
      <w:r>
        <w:t xml:space="preserve"> Die Reichskulturkammer</w:t>
      </w:r>
    </w:p>
  </w:footnote>
  <w:footnote w:id="46">
    <w:p w:rsidR="008166F1" w:rsidRDefault="008166F1" w:rsidP="00D87B79">
      <w:pPr>
        <w:pStyle w:val="Funotentext"/>
        <w:jc w:val="both"/>
      </w:pPr>
      <w:r>
        <w:rPr>
          <w:rStyle w:val="Funotenzeichen"/>
        </w:rPr>
        <w:footnoteRef/>
      </w:r>
      <w:r>
        <w:t xml:space="preserve"> Das bekannteste Beispiel ist der Fall des Filmschauspielers Joachim Gottschalk. 1941 verübt Gottschalk z</w:t>
      </w:r>
      <w:r>
        <w:t>u</w:t>
      </w:r>
      <w:r>
        <w:t xml:space="preserve">sammen mit Frau und Kindern Selbstmord. Vgl. Bärbel Schrader: </w:t>
      </w:r>
      <w:r w:rsidRPr="00C4648E">
        <w:rPr>
          <w:i/>
        </w:rPr>
        <w:t>„Jederzeit widerruflich“,</w:t>
      </w:r>
      <w:r>
        <w:t xml:space="preserve"> a.a.O., S. 145. </w:t>
      </w:r>
    </w:p>
  </w:footnote>
  <w:footnote w:id="47">
    <w:p w:rsidR="00981DAF" w:rsidRDefault="00981DAF" w:rsidP="00D87B79">
      <w:pPr>
        <w:pStyle w:val="Funotentext"/>
        <w:jc w:val="both"/>
      </w:pPr>
      <w:r>
        <w:rPr>
          <w:rStyle w:val="Funotenzeichen"/>
        </w:rPr>
        <w:footnoteRef/>
      </w:r>
      <w:r>
        <w:t xml:space="preserve"> Zu dem Faktum, dass die üblichen Kontakte im Alltagsleben zwischen „Ariern“ und „Juden“ systematisch dem Verdacht der „Rassenschande“ ausgesetzt waren vgl. Saul Friedländer: </w:t>
      </w:r>
      <w:r>
        <w:rPr>
          <w:i/>
        </w:rPr>
        <w:t>Das Dritte Reich und die Juden.</w:t>
      </w:r>
      <w:r>
        <w:t xml:space="preserve"> Bd. 1: </w:t>
      </w:r>
      <w:r w:rsidRPr="00677BBD">
        <w:rPr>
          <w:i/>
        </w:rPr>
        <w:t>Die J</w:t>
      </w:r>
      <w:r w:rsidR="00677BBD" w:rsidRPr="00677BBD">
        <w:rPr>
          <w:i/>
        </w:rPr>
        <w:t>a</w:t>
      </w:r>
      <w:r w:rsidRPr="00677BBD">
        <w:rPr>
          <w:i/>
        </w:rPr>
        <w:t>hre der Verfolgung 1933 – 1939</w:t>
      </w:r>
      <w:r>
        <w:t xml:space="preserve">. München 1998, S. </w:t>
      </w:r>
      <w:r w:rsidR="003D22AB">
        <w:t>1</w:t>
      </w:r>
      <w:r>
        <w:t xml:space="preserve">78 ff. </w:t>
      </w:r>
    </w:p>
  </w:footnote>
  <w:footnote w:id="48">
    <w:p w:rsidR="008166F1" w:rsidRDefault="008166F1" w:rsidP="00D87B79">
      <w:pPr>
        <w:pStyle w:val="Funotentext"/>
        <w:jc w:val="both"/>
      </w:pPr>
      <w:r>
        <w:rPr>
          <w:rStyle w:val="Funotenzeichen"/>
        </w:rPr>
        <w:footnoteRef/>
      </w:r>
      <w:r>
        <w:t xml:space="preserve"> Eva </w:t>
      </w:r>
      <w:proofErr w:type="spellStart"/>
      <w:r>
        <w:t>Wysbar</w:t>
      </w:r>
      <w:proofErr w:type="spellEnd"/>
      <w:r>
        <w:t xml:space="preserve">: </w:t>
      </w:r>
      <w:r w:rsidRPr="00B60E1E">
        <w:rPr>
          <w:i/>
        </w:rPr>
        <w:t>„Hinaus aus Deutschland, irgendwohin …“.</w:t>
      </w:r>
      <w:r>
        <w:t xml:space="preserve"> Mein Leben in Deutschland vor und nach 1933. Hrsg. von Detlef </w:t>
      </w:r>
      <w:proofErr w:type="spellStart"/>
      <w:r>
        <w:t>Garz</w:t>
      </w:r>
      <w:proofErr w:type="spellEnd"/>
      <w:r>
        <w:t xml:space="preserve">. </w:t>
      </w:r>
      <w:proofErr w:type="spellStart"/>
      <w:r>
        <w:t>Lengwil</w:t>
      </w:r>
      <w:proofErr w:type="spellEnd"/>
      <w:r>
        <w:t xml:space="preserve"> am Bodensee 2000.</w:t>
      </w:r>
    </w:p>
  </w:footnote>
  <w:footnote w:id="49">
    <w:p w:rsidR="008166F1" w:rsidRDefault="008166F1" w:rsidP="00D87B79">
      <w:pPr>
        <w:pStyle w:val="Funotentext"/>
        <w:jc w:val="both"/>
      </w:pPr>
      <w:r>
        <w:rPr>
          <w:rStyle w:val="Funotenzeichen"/>
        </w:rPr>
        <w:footnoteRef/>
      </w:r>
      <w:r>
        <w:t xml:space="preserve"> A.a.O., S. 126 f., 132 -136.</w:t>
      </w:r>
    </w:p>
  </w:footnote>
  <w:footnote w:id="50">
    <w:p w:rsidR="008166F1" w:rsidRDefault="008166F1" w:rsidP="00AD4EBA">
      <w:pPr>
        <w:pStyle w:val="Funotentext"/>
      </w:pPr>
      <w:r>
        <w:rPr>
          <w:rStyle w:val="Funotenzeichen"/>
        </w:rPr>
        <w:footnoteRef/>
      </w:r>
      <w:r>
        <w:t xml:space="preserve"> </w:t>
      </w:r>
      <w:proofErr w:type="spellStart"/>
      <w:r>
        <w:t>Garz</w:t>
      </w:r>
      <w:proofErr w:type="spellEnd"/>
      <w:r>
        <w:t xml:space="preserve"> unter Hinweis auf Tremper, S. 134.</w:t>
      </w:r>
    </w:p>
  </w:footnote>
  <w:footnote w:id="51">
    <w:p w:rsidR="008166F1" w:rsidRDefault="008166F1" w:rsidP="00AD4EBA">
      <w:pPr>
        <w:pStyle w:val="Funotentext"/>
      </w:pPr>
      <w:r>
        <w:rPr>
          <w:rStyle w:val="Funotenzeichen"/>
        </w:rPr>
        <w:footnoteRef/>
      </w:r>
      <w:r>
        <w:t xml:space="preserve"> S. Detlef </w:t>
      </w:r>
      <w:proofErr w:type="spellStart"/>
      <w:r>
        <w:t>Garz</w:t>
      </w:r>
      <w:proofErr w:type="spellEnd"/>
      <w:r>
        <w:t xml:space="preserve"> in seinem Nachwort, S. 134. </w:t>
      </w:r>
    </w:p>
  </w:footnote>
  <w:footnote w:id="52">
    <w:p w:rsidR="008166F1" w:rsidRDefault="008166F1">
      <w:pPr>
        <w:pStyle w:val="Funotentext"/>
      </w:pPr>
      <w:r>
        <w:rPr>
          <w:rStyle w:val="Funotenzeichen"/>
        </w:rPr>
        <w:footnoteRef/>
      </w:r>
      <w:r>
        <w:t xml:space="preserve"> S. 33.</w:t>
      </w:r>
    </w:p>
  </w:footnote>
  <w:footnote w:id="53">
    <w:p w:rsidR="008166F1" w:rsidRDefault="008166F1" w:rsidP="00991FF0">
      <w:pPr>
        <w:pStyle w:val="Funotentext"/>
      </w:pPr>
      <w:r>
        <w:rPr>
          <w:rStyle w:val="Funotenzeichen"/>
        </w:rPr>
        <w:footnoteRef/>
      </w:r>
      <w:r>
        <w:t xml:space="preserve"> S. 58 f.</w:t>
      </w:r>
    </w:p>
  </w:footnote>
  <w:footnote w:id="54">
    <w:p w:rsidR="008166F1" w:rsidRDefault="008166F1">
      <w:pPr>
        <w:pStyle w:val="Funotentext"/>
      </w:pPr>
      <w:r>
        <w:rPr>
          <w:rStyle w:val="Funotenzeichen"/>
        </w:rPr>
        <w:footnoteRef/>
      </w:r>
      <w:r>
        <w:t xml:space="preserve"> </w:t>
      </w:r>
      <w:proofErr w:type="spellStart"/>
      <w:r>
        <w:t>Garz</w:t>
      </w:r>
      <w:proofErr w:type="spellEnd"/>
      <w:r>
        <w:t>, S. 121.</w:t>
      </w:r>
    </w:p>
  </w:footnote>
  <w:footnote w:id="55">
    <w:p w:rsidR="008166F1" w:rsidRDefault="008166F1">
      <w:pPr>
        <w:pStyle w:val="Funotentext"/>
      </w:pPr>
      <w:r>
        <w:rPr>
          <w:rStyle w:val="Funotenzeichen"/>
        </w:rPr>
        <w:footnoteRef/>
      </w:r>
      <w:r>
        <w:t xml:space="preserve"> </w:t>
      </w:r>
      <w:proofErr w:type="spellStart"/>
      <w:r>
        <w:t>Garz</w:t>
      </w:r>
      <w:proofErr w:type="spellEnd"/>
      <w:r>
        <w:t>, S. 125.</w:t>
      </w:r>
    </w:p>
  </w:footnote>
  <w:footnote w:id="56">
    <w:p w:rsidR="008166F1" w:rsidRDefault="008166F1" w:rsidP="00D87B79">
      <w:pPr>
        <w:pStyle w:val="Funotentext"/>
        <w:jc w:val="both"/>
      </w:pPr>
      <w:r>
        <w:rPr>
          <w:rStyle w:val="Funotenzeichen"/>
        </w:rPr>
        <w:footnoteRef/>
      </w:r>
      <w:r>
        <w:t xml:space="preserve"> Detlef </w:t>
      </w:r>
      <w:proofErr w:type="spellStart"/>
      <w:r>
        <w:t>Garz</w:t>
      </w:r>
      <w:proofErr w:type="spellEnd"/>
      <w:r>
        <w:t xml:space="preserve"> berichtet, dass nach der Familienlegende sie „sich dort ‚unsterblich‘ ineinander verliebt, und Franz Paul </w:t>
      </w:r>
      <w:proofErr w:type="spellStart"/>
      <w:r>
        <w:t>W</w:t>
      </w:r>
      <w:r w:rsidR="00B60E1E">
        <w:t>y</w:t>
      </w:r>
      <w:r>
        <w:t>sbar</w:t>
      </w:r>
      <w:proofErr w:type="spellEnd"/>
      <w:r>
        <w:t xml:space="preserve"> schwor, Eva niemals mehr von seiner Seite zu lasen“; a.a.O., S. 129. </w:t>
      </w:r>
    </w:p>
  </w:footnote>
  <w:footnote w:id="57">
    <w:p w:rsidR="008166F1" w:rsidRDefault="008166F1">
      <w:pPr>
        <w:pStyle w:val="Funotentext"/>
      </w:pPr>
      <w:r>
        <w:rPr>
          <w:rStyle w:val="Funotenzeichen"/>
        </w:rPr>
        <w:footnoteRef/>
      </w:r>
      <w:r>
        <w:t xml:space="preserve"> S. 80</w:t>
      </w:r>
    </w:p>
  </w:footnote>
  <w:footnote w:id="58">
    <w:p w:rsidR="008166F1" w:rsidRDefault="008166F1">
      <w:pPr>
        <w:pStyle w:val="Funotentext"/>
      </w:pPr>
      <w:r>
        <w:rPr>
          <w:rStyle w:val="Funotenzeichen"/>
        </w:rPr>
        <w:footnoteRef/>
      </w:r>
      <w:r>
        <w:t xml:space="preserve"> </w:t>
      </w:r>
      <w:r w:rsidR="00523B02">
        <w:t xml:space="preserve">Gemeint ist </w:t>
      </w:r>
      <w:r>
        <w:t>Sybille Schmitz</w:t>
      </w:r>
      <w:r w:rsidR="00523B02">
        <w:t>.</w:t>
      </w:r>
    </w:p>
  </w:footnote>
  <w:footnote w:id="59">
    <w:p w:rsidR="008166F1" w:rsidRDefault="008166F1">
      <w:pPr>
        <w:pStyle w:val="Funotentext"/>
      </w:pPr>
      <w:r>
        <w:rPr>
          <w:rStyle w:val="Funotenzeichen"/>
        </w:rPr>
        <w:footnoteRef/>
      </w:r>
      <w:r>
        <w:t xml:space="preserve"> S. 26 f.</w:t>
      </w:r>
    </w:p>
  </w:footnote>
  <w:footnote w:id="60">
    <w:p w:rsidR="008166F1" w:rsidRDefault="008166F1">
      <w:pPr>
        <w:pStyle w:val="Funotentext"/>
      </w:pPr>
      <w:r>
        <w:rPr>
          <w:rStyle w:val="Funotenzeichen"/>
        </w:rPr>
        <w:footnoteRef/>
      </w:r>
      <w:r>
        <w:t xml:space="preserve"> S. 29.</w:t>
      </w:r>
    </w:p>
  </w:footnote>
  <w:footnote w:id="61">
    <w:p w:rsidR="008166F1" w:rsidRDefault="008166F1">
      <w:pPr>
        <w:pStyle w:val="Funotentext"/>
      </w:pPr>
      <w:r>
        <w:rPr>
          <w:rStyle w:val="Funotenzeichen"/>
        </w:rPr>
        <w:footnoteRef/>
      </w:r>
      <w:r>
        <w:t xml:space="preserve"> S. 31</w:t>
      </w:r>
    </w:p>
  </w:footnote>
  <w:footnote w:id="62">
    <w:p w:rsidR="008166F1" w:rsidRDefault="008166F1" w:rsidP="00076B63">
      <w:pPr>
        <w:pStyle w:val="Funotentext"/>
      </w:pPr>
      <w:r>
        <w:rPr>
          <w:rStyle w:val="Funotenzeichen"/>
        </w:rPr>
        <w:footnoteRef/>
      </w:r>
      <w:r>
        <w:t xml:space="preserve"> S. 56.</w:t>
      </w:r>
    </w:p>
  </w:footnote>
  <w:footnote w:id="63">
    <w:p w:rsidR="008166F1" w:rsidRDefault="008166F1">
      <w:pPr>
        <w:pStyle w:val="Funotentext"/>
      </w:pPr>
      <w:r>
        <w:rPr>
          <w:rStyle w:val="Funotenzeichen"/>
        </w:rPr>
        <w:footnoteRef/>
      </w:r>
      <w:r>
        <w:t xml:space="preserve"> S. 57.</w:t>
      </w:r>
    </w:p>
  </w:footnote>
  <w:footnote w:id="64">
    <w:p w:rsidR="008166F1" w:rsidRDefault="008166F1">
      <w:pPr>
        <w:pStyle w:val="Funotentext"/>
      </w:pPr>
      <w:r>
        <w:rPr>
          <w:rStyle w:val="Funotenzeichen"/>
        </w:rPr>
        <w:footnoteRef/>
      </w:r>
      <w:r>
        <w:t xml:space="preserve"> S. 70.</w:t>
      </w:r>
    </w:p>
  </w:footnote>
  <w:footnote w:id="65">
    <w:p w:rsidR="008166F1" w:rsidRDefault="008166F1">
      <w:pPr>
        <w:pStyle w:val="Funotentext"/>
      </w:pPr>
      <w:r>
        <w:rPr>
          <w:rStyle w:val="Funotenzeichen"/>
        </w:rPr>
        <w:footnoteRef/>
      </w:r>
      <w:r>
        <w:t xml:space="preserve"> Ebd.</w:t>
      </w:r>
    </w:p>
  </w:footnote>
  <w:footnote w:id="66">
    <w:p w:rsidR="008166F1" w:rsidRDefault="008166F1">
      <w:pPr>
        <w:pStyle w:val="Funotentext"/>
      </w:pPr>
      <w:r>
        <w:rPr>
          <w:rStyle w:val="Funotenzeichen"/>
        </w:rPr>
        <w:footnoteRef/>
      </w:r>
      <w:r>
        <w:t xml:space="preserve"> S. 96.</w:t>
      </w:r>
    </w:p>
  </w:footnote>
  <w:footnote w:id="67">
    <w:p w:rsidR="008166F1" w:rsidRDefault="008166F1">
      <w:pPr>
        <w:pStyle w:val="Funotentext"/>
      </w:pPr>
      <w:r>
        <w:rPr>
          <w:rStyle w:val="Funotenzeichen"/>
        </w:rPr>
        <w:footnoteRef/>
      </w:r>
      <w:r>
        <w:t xml:space="preserve"> S. 38.</w:t>
      </w:r>
    </w:p>
  </w:footnote>
  <w:footnote w:id="68">
    <w:p w:rsidR="008166F1" w:rsidRDefault="008166F1">
      <w:pPr>
        <w:pStyle w:val="Funotentext"/>
      </w:pPr>
      <w:r>
        <w:rPr>
          <w:rStyle w:val="Funotenzeichen"/>
        </w:rPr>
        <w:footnoteRef/>
      </w:r>
      <w:r>
        <w:t xml:space="preserve"> S. 38 f.</w:t>
      </w:r>
    </w:p>
  </w:footnote>
  <w:footnote w:id="69">
    <w:p w:rsidR="008166F1" w:rsidRDefault="008166F1">
      <w:pPr>
        <w:pStyle w:val="Funotentext"/>
      </w:pPr>
      <w:r>
        <w:rPr>
          <w:rStyle w:val="Funotenzeichen"/>
        </w:rPr>
        <w:footnoteRef/>
      </w:r>
      <w:r>
        <w:t xml:space="preserve"> S. 64.</w:t>
      </w:r>
    </w:p>
  </w:footnote>
  <w:footnote w:id="70">
    <w:p w:rsidR="008166F1" w:rsidRDefault="008166F1">
      <w:pPr>
        <w:pStyle w:val="Funotentext"/>
      </w:pPr>
      <w:r>
        <w:rPr>
          <w:rStyle w:val="Funotenzeichen"/>
        </w:rPr>
        <w:footnoteRef/>
      </w:r>
      <w:r>
        <w:t xml:space="preserve"> S. 98.</w:t>
      </w:r>
    </w:p>
  </w:footnote>
  <w:footnote w:id="71">
    <w:p w:rsidR="008166F1" w:rsidRDefault="008166F1">
      <w:pPr>
        <w:pStyle w:val="Funotentext"/>
      </w:pPr>
      <w:r>
        <w:rPr>
          <w:rStyle w:val="Funotenzeichen"/>
        </w:rPr>
        <w:footnoteRef/>
      </w:r>
      <w:r>
        <w:t xml:space="preserve"> S. 99.</w:t>
      </w:r>
    </w:p>
  </w:footnote>
  <w:footnote w:id="72">
    <w:p w:rsidR="008166F1" w:rsidRDefault="008166F1">
      <w:pPr>
        <w:pStyle w:val="Funotentext"/>
      </w:pPr>
      <w:r>
        <w:rPr>
          <w:rStyle w:val="Funotenzeichen"/>
        </w:rPr>
        <w:footnoteRef/>
      </w:r>
      <w:r>
        <w:t xml:space="preserve"> S.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88"/>
      <w:docPartObj>
        <w:docPartGallery w:val="Page Numbers (Top of Page)"/>
        <w:docPartUnique/>
      </w:docPartObj>
    </w:sdtPr>
    <w:sdtEndPr/>
    <w:sdtContent>
      <w:p w:rsidR="008166F1" w:rsidRDefault="006D2FB2">
        <w:pPr>
          <w:pStyle w:val="Kopfzeile"/>
          <w:jc w:val="right"/>
        </w:pPr>
        <w:r>
          <w:fldChar w:fldCharType="begin"/>
        </w:r>
        <w:r>
          <w:instrText xml:space="preserve"> PAGE   \* MERGEFORMAT </w:instrText>
        </w:r>
        <w:r>
          <w:fldChar w:fldCharType="separate"/>
        </w:r>
        <w:r w:rsidR="00D87B79">
          <w:rPr>
            <w:noProof/>
          </w:rPr>
          <w:t>1</w:t>
        </w:r>
        <w:r>
          <w:rPr>
            <w:noProof/>
          </w:rPr>
          <w:fldChar w:fldCharType="end"/>
        </w:r>
      </w:p>
    </w:sdtContent>
  </w:sdt>
  <w:p w:rsidR="008166F1" w:rsidRDefault="008166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0FF1"/>
    <w:rsid w:val="000068BE"/>
    <w:rsid w:val="0003279F"/>
    <w:rsid w:val="00063CB4"/>
    <w:rsid w:val="00064A6D"/>
    <w:rsid w:val="00070B7C"/>
    <w:rsid w:val="00072C89"/>
    <w:rsid w:val="00073E67"/>
    <w:rsid w:val="00076B63"/>
    <w:rsid w:val="000802CC"/>
    <w:rsid w:val="000842E7"/>
    <w:rsid w:val="00085AAA"/>
    <w:rsid w:val="00086D58"/>
    <w:rsid w:val="00093A9F"/>
    <w:rsid w:val="000941E8"/>
    <w:rsid w:val="000943B5"/>
    <w:rsid w:val="000A025C"/>
    <w:rsid w:val="000B0E9F"/>
    <w:rsid w:val="000B441C"/>
    <w:rsid w:val="000B65E1"/>
    <w:rsid w:val="000C4DA3"/>
    <w:rsid w:val="000E06C5"/>
    <w:rsid w:val="000E745F"/>
    <w:rsid w:val="001044CF"/>
    <w:rsid w:val="00106C91"/>
    <w:rsid w:val="00116CFA"/>
    <w:rsid w:val="00137AFD"/>
    <w:rsid w:val="00155D91"/>
    <w:rsid w:val="001678FE"/>
    <w:rsid w:val="0018486B"/>
    <w:rsid w:val="00191C9F"/>
    <w:rsid w:val="00193210"/>
    <w:rsid w:val="001B0667"/>
    <w:rsid w:val="001D006F"/>
    <w:rsid w:val="001D2536"/>
    <w:rsid w:val="001D3A03"/>
    <w:rsid w:val="001E0914"/>
    <w:rsid w:val="001E2E55"/>
    <w:rsid w:val="001F1452"/>
    <w:rsid w:val="001F335B"/>
    <w:rsid w:val="0021295D"/>
    <w:rsid w:val="00222792"/>
    <w:rsid w:val="00227CF0"/>
    <w:rsid w:val="00227D29"/>
    <w:rsid w:val="0023249D"/>
    <w:rsid w:val="0023591E"/>
    <w:rsid w:val="00235EDE"/>
    <w:rsid w:val="0026054E"/>
    <w:rsid w:val="00260C15"/>
    <w:rsid w:val="00262063"/>
    <w:rsid w:val="00262CB0"/>
    <w:rsid w:val="0026592B"/>
    <w:rsid w:val="00266976"/>
    <w:rsid w:val="00270FAD"/>
    <w:rsid w:val="00275CAF"/>
    <w:rsid w:val="00280435"/>
    <w:rsid w:val="0028643C"/>
    <w:rsid w:val="002933F8"/>
    <w:rsid w:val="002A3F24"/>
    <w:rsid w:val="002B0889"/>
    <w:rsid w:val="002B248F"/>
    <w:rsid w:val="002B7B56"/>
    <w:rsid w:val="002C4F20"/>
    <w:rsid w:val="002C61E3"/>
    <w:rsid w:val="002D6641"/>
    <w:rsid w:val="002D74D8"/>
    <w:rsid w:val="002E30F4"/>
    <w:rsid w:val="002F5B11"/>
    <w:rsid w:val="00302FA4"/>
    <w:rsid w:val="003136F7"/>
    <w:rsid w:val="0032554C"/>
    <w:rsid w:val="00325F4F"/>
    <w:rsid w:val="00340099"/>
    <w:rsid w:val="00341693"/>
    <w:rsid w:val="0034777C"/>
    <w:rsid w:val="00351067"/>
    <w:rsid w:val="00383519"/>
    <w:rsid w:val="003858FD"/>
    <w:rsid w:val="003908D0"/>
    <w:rsid w:val="003A3082"/>
    <w:rsid w:val="003A7076"/>
    <w:rsid w:val="003C147D"/>
    <w:rsid w:val="003D13E1"/>
    <w:rsid w:val="003D22AB"/>
    <w:rsid w:val="003D79FA"/>
    <w:rsid w:val="003E3F2D"/>
    <w:rsid w:val="003E4A73"/>
    <w:rsid w:val="003F5DEA"/>
    <w:rsid w:val="004038AF"/>
    <w:rsid w:val="004111D7"/>
    <w:rsid w:val="00412E25"/>
    <w:rsid w:val="00432DB2"/>
    <w:rsid w:val="004400EA"/>
    <w:rsid w:val="00441643"/>
    <w:rsid w:val="004435CF"/>
    <w:rsid w:val="00444859"/>
    <w:rsid w:val="00447E8D"/>
    <w:rsid w:val="00460337"/>
    <w:rsid w:val="00465B20"/>
    <w:rsid w:val="00486DA9"/>
    <w:rsid w:val="0049100B"/>
    <w:rsid w:val="004A1D63"/>
    <w:rsid w:val="004A670C"/>
    <w:rsid w:val="004A7862"/>
    <w:rsid w:val="004B19C7"/>
    <w:rsid w:val="004C274D"/>
    <w:rsid w:val="004C5F2B"/>
    <w:rsid w:val="004D7092"/>
    <w:rsid w:val="004E04D7"/>
    <w:rsid w:val="004F6F6F"/>
    <w:rsid w:val="005005B8"/>
    <w:rsid w:val="0051305D"/>
    <w:rsid w:val="00523B02"/>
    <w:rsid w:val="005618E1"/>
    <w:rsid w:val="005662C0"/>
    <w:rsid w:val="00580141"/>
    <w:rsid w:val="00580790"/>
    <w:rsid w:val="00585020"/>
    <w:rsid w:val="005A00B2"/>
    <w:rsid w:val="005E1469"/>
    <w:rsid w:val="005E6334"/>
    <w:rsid w:val="005F1CF4"/>
    <w:rsid w:val="00611F58"/>
    <w:rsid w:val="00622637"/>
    <w:rsid w:val="006301A4"/>
    <w:rsid w:val="00635B3A"/>
    <w:rsid w:val="00660D01"/>
    <w:rsid w:val="00664354"/>
    <w:rsid w:val="00664F4D"/>
    <w:rsid w:val="00671D76"/>
    <w:rsid w:val="00674336"/>
    <w:rsid w:val="00677BBD"/>
    <w:rsid w:val="00681782"/>
    <w:rsid w:val="006859BA"/>
    <w:rsid w:val="006B7974"/>
    <w:rsid w:val="006C0C54"/>
    <w:rsid w:val="006D2FB2"/>
    <w:rsid w:val="006D4E1C"/>
    <w:rsid w:val="00706C7F"/>
    <w:rsid w:val="00710465"/>
    <w:rsid w:val="00714AF9"/>
    <w:rsid w:val="00715B61"/>
    <w:rsid w:val="00716623"/>
    <w:rsid w:val="00727DA6"/>
    <w:rsid w:val="007451C1"/>
    <w:rsid w:val="00754FFB"/>
    <w:rsid w:val="007664D2"/>
    <w:rsid w:val="00776B68"/>
    <w:rsid w:val="00784C8A"/>
    <w:rsid w:val="007A6038"/>
    <w:rsid w:val="007B2B9A"/>
    <w:rsid w:val="007B5EB2"/>
    <w:rsid w:val="007C5EE5"/>
    <w:rsid w:val="007C6AE8"/>
    <w:rsid w:val="007D1AF7"/>
    <w:rsid w:val="007F19A6"/>
    <w:rsid w:val="007F24A9"/>
    <w:rsid w:val="0080160C"/>
    <w:rsid w:val="00802DD9"/>
    <w:rsid w:val="00810EB2"/>
    <w:rsid w:val="008166F1"/>
    <w:rsid w:val="008216B5"/>
    <w:rsid w:val="00835546"/>
    <w:rsid w:val="00843688"/>
    <w:rsid w:val="00843FBE"/>
    <w:rsid w:val="008611E8"/>
    <w:rsid w:val="0086169E"/>
    <w:rsid w:val="00875E08"/>
    <w:rsid w:val="00892137"/>
    <w:rsid w:val="00893515"/>
    <w:rsid w:val="008A0EF5"/>
    <w:rsid w:val="008C5697"/>
    <w:rsid w:val="008D5586"/>
    <w:rsid w:val="008E3DA5"/>
    <w:rsid w:val="008F26ED"/>
    <w:rsid w:val="00901861"/>
    <w:rsid w:val="00903AD2"/>
    <w:rsid w:val="00922827"/>
    <w:rsid w:val="00930638"/>
    <w:rsid w:val="00934677"/>
    <w:rsid w:val="009543BF"/>
    <w:rsid w:val="00962512"/>
    <w:rsid w:val="00964072"/>
    <w:rsid w:val="00981DAF"/>
    <w:rsid w:val="00991FF0"/>
    <w:rsid w:val="009A4561"/>
    <w:rsid w:val="009B1652"/>
    <w:rsid w:val="009B314A"/>
    <w:rsid w:val="009B343F"/>
    <w:rsid w:val="009B7953"/>
    <w:rsid w:val="009C7069"/>
    <w:rsid w:val="00A1425F"/>
    <w:rsid w:val="00A21159"/>
    <w:rsid w:val="00A45B33"/>
    <w:rsid w:val="00A5651B"/>
    <w:rsid w:val="00A70176"/>
    <w:rsid w:val="00A73369"/>
    <w:rsid w:val="00A8035C"/>
    <w:rsid w:val="00A85411"/>
    <w:rsid w:val="00AA7E57"/>
    <w:rsid w:val="00AB32FF"/>
    <w:rsid w:val="00AC5987"/>
    <w:rsid w:val="00AC5FDE"/>
    <w:rsid w:val="00AC6D95"/>
    <w:rsid w:val="00AD4EBA"/>
    <w:rsid w:val="00AD5625"/>
    <w:rsid w:val="00AE5AB5"/>
    <w:rsid w:val="00AE6B32"/>
    <w:rsid w:val="00B00AEE"/>
    <w:rsid w:val="00B22F27"/>
    <w:rsid w:val="00B2549E"/>
    <w:rsid w:val="00B2657B"/>
    <w:rsid w:val="00B42804"/>
    <w:rsid w:val="00B42852"/>
    <w:rsid w:val="00B601E1"/>
    <w:rsid w:val="00B60E1E"/>
    <w:rsid w:val="00B623E4"/>
    <w:rsid w:val="00B710BB"/>
    <w:rsid w:val="00B7408A"/>
    <w:rsid w:val="00B901C2"/>
    <w:rsid w:val="00B92C53"/>
    <w:rsid w:val="00BB3460"/>
    <w:rsid w:val="00BC42F3"/>
    <w:rsid w:val="00C03A6D"/>
    <w:rsid w:val="00C05BB1"/>
    <w:rsid w:val="00C139D4"/>
    <w:rsid w:val="00C17197"/>
    <w:rsid w:val="00C20AFC"/>
    <w:rsid w:val="00C30FA2"/>
    <w:rsid w:val="00C32ECF"/>
    <w:rsid w:val="00C34208"/>
    <w:rsid w:val="00C34B69"/>
    <w:rsid w:val="00C4648E"/>
    <w:rsid w:val="00C56B09"/>
    <w:rsid w:val="00C6653A"/>
    <w:rsid w:val="00C70711"/>
    <w:rsid w:val="00C7233D"/>
    <w:rsid w:val="00C75138"/>
    <w:rsid w:val="00C753D7"/>
    <w:rsid w:val="00C76477"/>
    <w:rsid w:val="00C858B3"/>
    <w:rsid w:val="00C93F6D"/>
    <w:rsid w:val="00CB0238"/>
    <w:rsid w:val="00CB63B4"/>
    <w:rsid w:val="00CF452C"/>
    <w:rsid w:val="00D1245A"/>
    <w:rsid w:val="00D2498A"/>
    <w:rsid w:val="00D42CAC"/>
    <w:rsid w:val="00D5331F"/>
    <w:rsid w:val="00D53B4B"/>
    <w:rsid w:val="00D570C5"/>
    <w:rsid w:val="00D6100B"/>
    <w:rsid w:val="00D747FA"/>
    <w:rsid w:val="00D87B79"/>
    <w:rsid w:val="00D91748"/>
    <w:rsid w:val="00DC31E4"/>
    <w:rsid w:val="00DC79C7"/>
    <w:rsid w:val="00E07097"/>
    <w:rsid w:val="00E1311B"/>
    <w:rsid w:val="00E238A3"/>
    <w:rsid w:val="00E42B43"/>
    <w:rsid w:val="00E43096"/>
    <w:rsid w:val="00E4524B"/>
    <w:rsid w:val="00E45B9A"/>
    <w:rsid w:val="00E5622B"/>
    <w:rsid w:val="00E563CD"/>
    <w:rsid w:val="00E57E4A"/>
    <w:rsid w:val="00E615A8"/>
    <w:rsid w:val="00E7132C"/>
    <w:rsid w:val="00E71913"/>
    <w:rsid w:val="00E758C9"/>
    <w:rsid w:val="00E82E1F"/>
    <w:rsid w:val="00E83FF3"/>
    <w:rsid w:val="00E84E40"/>
    <w:rsid w:val="00EA2D96"/>
    <w:rsid w:val="00EB60C9"/>
    <w:rsid w:val="00EC3FD2"/>
    <w:rsid w:val="00ED1CBF"/>
    <w:rsid w:val="00ED4B07"/>
    <w:rsid w:val="00ED58F0"/>
    <w:rsid w:val="00EE4AC6"/>
    <w:rsid w:val="00EE591C"/>
    <w:rsid w:val="00EF744E"/>
    <w:rsid w:val="00F0423F"/>
    <w:rsid w:val="00F077DB"/>
    <w:rsid w:val="00F108E6"/>
    <w:rsid w:val="00F15DA9"/>
    <w:rsid w:val="00F21F5D"/>
    <w:rsid w:val="00F274BA"/>
    <w:rsid w:val="00F3234F"/>
    <w:rsid w:val="00F34AD9"/>
    <w:rsid w:val="00F360B0"/>
    <w:rsid w:val="00F4090A"/>
    <w:rsid w:val="00F40938"/>
    <w:rsid w:val="00F51EAC"/>
    <w:rsid w:val="00F548AF"/>
    <w:rsid w:val="00F71CEB"/>
    <w:rsid w:val="00F804EB"/>
    <w:rsid w:val="00F828FB"/>
    <w:rsid w:val="00F84148"/>
    <w:rsid w:val="00F85127"/>
    <w:rsid w:val="00FA67BF"/>
    <w:rsid w:val="00FA78A5"/>
    <w:rsid w:val="00FC0507"/>
    <w:rsid w:val="00FC0896"/>
    <w:rsid w:val="00FC60B0"/>
    <w:rsid w:val="00FC635D"/>
    <w:rsid w:val="00FE0FF1"/>
    <w:rsid w:val="00FE1C4B"/>
    <w:rsid w:val="00FE45C4"/>
    <w:rsid w:val="00FF3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9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F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FF1"/>
  </w:style>
  <w:style w:type="paragraph" w:styleId="Fuzeile">
    <w:name w:val="footer"/>
    <w:basedOn w:val="Standard"/>
    <w:link w:val="FuzeileZchn"/>
    <w:uiPriority w:val="99"/>
    <w:semiHidden/>
    <w:unhideWhenUsed/>
    <w:rsid w:val="00FE0FF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E0FF1"/>
  </w:style>
  <w:style w:type="paragraph" w:styleId="Funotentext">
    <w:name w:val="footnote text"/>
    <w:basedOn w:val="Standard"/>
    <w:link w:val="FunotentextZchn"/>
    <w:uiPriority w:val="99"/>
    <w:semiHidden/>
    <w:unhideWhenUsed/>
    <w:rsid w:val="006743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4336"/>
    <w:rPr>
      <w:sz w:val="20"/>
      <w:szCs w:val="20"/>
    </w:rPr>
  </w:style>
  <w:style w:type="character" w:styleId="Funotenzeichen">
    <w:name w:val="footnote reference"/>
    <w:basedOn w:val="Absatz-Standardschriftart"/>
    <w:uiPriority w:val="99"/>
    <w:semiHidden/>
    <w:unhideWhenUsed/>
    <w:rsid w:val="00674336"/>
    <w:rPr>
      <w:vertAlign w:val="superscript"/>
    </w:rPr>
  </w:style>
  <w:style w:type="paragraph" w:styleId="Sprechblasentext">
    <w:name w:val="Balloon Text"/>
    <w:basedOn w:val="Standard"/>
    <w:link w:val="SprechblasentextZchn"/>
    <w:uiPriority w:val="99"/>
    <w:semiHidden/>
    <w:unhideWhenUsed/>
    <w:rsid w:val="002B0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998">
      <w:bodyDiv w:val="1"/>
      <w:marLeft w:val="0"/>
      <w:marRight w:val="0"/>
      <w:marTop w:val="0"/>
      <w:marBottom w:val="0"/>
      <w:divBdr>
        <w:top w:val="none" w:sz="0" w:space="0" w:color="auto"/>
        <w:left w:val="none" w:sz="0" w:space="0" w:color="auto"/>
        <w:bottom w:val="none" w:sz="0" w:space="0" w:color="auto"/>
        <w:right w:val="none" w:sz="0" w:space="0" w:color="auto"/>
      </w:divBdr>
    </w:div>
    <w:div w:id="16074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1EE8-B491-4E9C-8ADC-082CC3D9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8737</Words>
  <Characters>55049</Characters>
  <Application>Microsoft Office Word</Application>
  <DocSecurity>0</DocSecurity>
  <Lines>458</Lines>
  <Paragraphs>127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2009-08-03T15:11:00Z</cp:lastPrinted>
  <dcterms:created xsi:type="dcterms:W3CDTF">2010-07-28T13:52:00Z</dcterms:created>
  <dcterms:modified xsi:type="dcterms:W3CDTF">2012-06-08T09:43:00Z</dcterms:modified>
</cp:coreProperties>
</file>