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F4" w:rsidRDefault="00032EB9" w:rsidP="000070F9">
      <w:pPr>
        <w:spacing w:after="0"/>
        <w:jc w:val="both"/>
      </w:pPr>
      <w:r>
        <w:rPr>
          <w:b/>
        </w:rPr>
        <w:t>(1</w:t>
      </w:r>
      <w:r w:rsidR="0053241A">
        <w:rPr>
          <w:b/>
        </w:rPr>
        <w:t>8</w:t>
      </w:r>
      <w:r>
        <w:rPr>
          <w:b/>
        </w:rPr>
        <w:t xml:space="preserve">) </w:t>
      </w:r>
      <w:r w:rsidR="00056080" w:rsidRPr="008B47F4">
        <w:rPr>
          <w:b/>
        </w:rPr>
        <w:t xml:space="preserve">Positionen </w:t>
      </w:r>
      <w:r w:rsidR="00FF4777">
        <w:rPr>
          <w:b/>
        </w:rPr>
        <w:t>4</w:t>
      </w:r>
      <w:r w:rsidR="00056080" w:rsidRPr="008B47F4">
        <w:rPr>
          <w:b/>
        </w:rPr>
        <w:t>:</w:t>
      </w:r>
      <w:r w:rsidR="00056080">
        <w:t xml:space="preserve"> </w:t>
      </w:r>
    </w:p>
    <w:p w:rsidR="00056080" w:rsidRPr="00831916" w:rsidRDefault="00831916" w:rsidP="000070F9">
      <w:pPr>
        <w:spacing w:after="0"/>
        <w:jc w:val="both"/>
        <w:rPr>
          <w:b/>
        </w:rPr>
      </w:pPr>
      <w:r w:rsidRPr="00831916">
        <w:rPr>
          <w:b/>
        </w:rPr>
        <w:t>Ferdinand Bruckner</w:t>
      </w:r>
      <w:r w:rsidR="009059B2">
        <w:rPr>
          <w:b/>
        </w:rPr>
        <w:t xml:space="preserve"> beendet seine Zusammenarbeit mit dem S. Fischer Verlag</w:t>
      </w:r>
      <w:r w:rsidR="001F28F9">
        <w:rPr>
          <w:b/>
        </w:rPr>
        <w:t xml:space="preserve"> </w:t>
      </w:r>
    </w:p>
    <w:p w:rsidR="008B47F4" w:rsidRDefault="008B47F4" w:rsidP="000070F9">
      <w:pPr>
        <w:spacing w:after="0"/>
        <w:jc w:val="both"/>
      </w:pPr>
    </w:p>
    <w:p w:rsidR="005A1FE2" w:rsidRDefault="001F28F9" w:rsidP="000070F9">
      <w:pPr>
        <w:spacing w:after="0"/>
        <w:jc w:val="both"/>
      </w:pPr>
      <w:r>
        <w:t xml:space="preserve">Am 12. Januar 1934 </w:t>
      </w:r>
      <w:r w:rsidR="00B34186">
        <w:t>teil</w:t>
      </w:r>
      <w:r>
        <w:t xml:space="preserve">t </w:t>
      </w:r>
      <w:r w:rsidR="00A330D5">
        <w:t xml:space="preserve">der Dramatiker </w:t>
      </w:r>
      <w:r>
        <w:t>Ferdinand Bruckner den S. Fischer Verlag</w:t>
      </w:r>
      <w:r w:rsidR="00B34186">
        <w:t xml:space="preserve"> mit</w:t>
      </w:r>
      <w:r>
        <w:t xml:space="preserve">, dass er mit sofortiger Wirkung die bestehenden Verträge kündige. Er </w:t>
      </w:r>
      <w:r w:rsidR="00A330D5">
        <w:t xml:space="preserve">beendet damit eine seit 1928 bestehende, bislang erfolgreiche Verlagsbeziehung. </w:t>
      </w:r>
      <w:r w:rsidR="00B34186">
        <w:t>Dreimal habe er versucht, die Verlagsb</w:t>
      </w:r>
      <w:r w:rsidR="00B34186">
        <w:t>e</w:t>
      </w:r>
      <w:r w:rsidR="00B34186">
        <w:t xml:space="preserve">ziehung auf freundschaftlicher Basis zu lösen; eine Antwort habe er nicht erhalten. </w:t>
      </w:r>
      <w:r w:rsidR="00A330D5">
        <w:t xml:space="preserve">Bruckner, der zu den </w:t>
      </w:r>
      <w:r w:rsidR="00B02BC5">
        <w:t>frühes</w:t>
      </w:r>
      <w:r w:rsidR="00A330D5">
        <w:t>ten Emigranten gehört</w:t>
      </w:r>
      <w:r w:rsidR="00B34186">
        <w:t>,</w:t>
      </w:r>
      <w:r w:rsidR="00A330D5">
        <w:t xml:space="preserve"> </w:t>
      </w:r>
      <w:r w:rsidR="00B34186">
        <w:t xml:space="preserve">erachtet es für aussichtslos – und im übrigen nicht für wünschenswert –, </w:t>
      </w:r>
      <w:proofErr w:type="gramStart"/>
      <w:r w:rsidR="00A330D5">
        <w:t>dass</w:t>
      </w:r>
      <w:proofErr w:type="gramEnd"/>
      <w:r w:rsidR="00A330D5">
        <w:t xml:space="preserve"> seine Dramen i</w:t>
      </w:r>
      <w:r w:rsidR="00B34186">
        <w:t xml:space="preserve">m Dritten Reich </w:t>
      </w:r>
      <w:r w:rsidR="00A330D5">
        <w:t>zur Aufführungen kommen</w:t>
      </w:r>
      <w:r w:rsidR="00B34186">
        <w:t>. Der Verlag negiere die Interessen eines Autors, der Jude und Emigrant ist.</w:t>
      </w:r>
      <w:r w:rsidR="00B34186">
        <w:rPr>
          <w:rStyle w:val="Funotenzeichen"/>
        </w:rPr>
        <w:footnoteReference w:id="1"/>
      </w:r>
      <w:r w:rsidR="00B34186">
        <w:t xml:space="preserve"> Er</w:t>
      </w:r>
      <w:r w:rsidR="00A330D5">
        <w:t xml:space="preserve"> w</w:t>
      </w:r>
      <w:r w:rsidR="005A1FE2">
        <w:t>i</w:t>
      </w:r>
      <w:r>
        <w:t>rf</w:t>
      </w:r>
      <w:r w:rsidR="005A1FE2">
        <w:t>t</w:t>
      </w:r>
      <w:r>
        <w:t xml:space="preserve"> dem Verlag nichts weniger als Doppelspiel und Anbiederung an das NS-Regime vor</w:t>
      </w:r>
      <w:r w:rsidR="00B34186">
        <w:t>.</w:t>
      </w:r>
      <w:r w:rsidRPr="001F28F9">
        <w:rPr>
          <w:rStyle w:val="Funotenzeichen"/>
        </w:rPr>
        <w:t xml:space="preserve"> </w:t>
      </w:r>
    </w:p>
    <w:p w:rsidR="00B02BC5" w:rsidRDefault="00AB663D" w:rsidP="000070F9">
      <w:pPr>
        <w:spacing w:after="0"/>
        <w:ind w:firstLine="708"/>
        <w:jc w:val="both"/>
      </w:pPr>
      <w:r>
        <w:t>Ferdinand Bruckner</w:t>
      </w:r>
      <w:r w:rsidR="005A1FE2">
        <w:t>, mit bürgerlichem Namen</w:t>
      </w:r>
      <w:r>
        <w:t xml:space="preserve"> Theodor </w:t>
      </w:r>
      <w:proofErr w:type="spellStart"/>
      <w:r>
        <w:t>Tagger</w:t>
      </w:r>
      <w:proofErr w:type="spellEnd"/>
      <w:r w:rsidR="005A1FE2">
        <w:t>,</w:t>
      </w:r>
      <w:r>
        <w:t xml:space="preserve"> </w:t>
      </w:r>
      <w:r w:rsidR="005A1FE2">
        <w:t>ist</w:t>
      </w:r>
      <w:r>
        <w:t xml:space="preserve"> einer der erfol</w:t>
      </w:r>
      <w:r>
        <w:t>g</w:t>
      </w:r>
      <w:r>
        <w:t xml:space="preserve">reichsten </w:t>
      </w:r>
      <w:r w:rsidR="006A3776">
        <w:t>Dramatiker</w:t>
      </w:r>
      <w:r>
        <w:t xml:space="preserve"> der Weimarer Republik</w:t>
      </w:r>
      <w:r w:rsidR="006A3776">
        <w:t xml:space="preserve">. Sein Renommee beruhte vor allem </w:t>
      </w:r>
      <w:r w:rsidR="00A330D5">
        <w:t xml:space="preserve">auf </w:t>
      </w:r>
      <w:r w:rsidR="009059B2">
        <w:t>sein</w:t>
      </w:r>
      <w:r w:rsidR="006A3776">
        <w:t xml:space="preserve">en Zeitstücken </w:t>
      </w:r>
      <w:r w:rsidR="006A3776">
        <w:rPr>
          <w:i/>
        </w:rPr>
        <w:t xml:space="preserve">Krankheit der Jugend </w:t>
      </w:r>
      <w:r w:rsidR="006A3776">
        <w:t xml:space="preserve">und </w:t>
      </w:r>
      <w:r w:rsidR="006A3776">
        <w:rPr>
          <w:i/>
        </w:rPr>
        <w:t>Die Verbrecher</w:t>
      </w:r>
      <w:r w:rsidR="005A408B">
        <w:rPr>
          <w:i/>
        </w:rPr>
        <w:t>,</w:t>
      </w:r>
      <w:r w:rsidR="005A408B">
        <w:t xml:space="preserve"> der Bühnenerfolg jedoch auch auf historischen Dramen und Konversationsstücken.</w:t>
      </w:r>
      <w:r w:rsidR="00FE6259">
        <w:t xml:space="preserve"> </w:t>
      </w:r>
      <w:r w:rsidR="005A1FE2">
        <w:t>Sein</w:t>
      </w:r>
      <w:r w:rsidR="006A3776">
        <w:t xml:space="preserve"> Drama </w:t>
      </w:r>
      <w:r w:rsidR="006A3776">
        <w:rPr>
          <w:i/>
        </w:rPr>
        <w:t>Elisabeth von England</w:t>
      </w:r>
      <w:r w:rsidR="006A3776">
        <w:t xml:space="preserve"> (1930) w</w:t>
      </w:r>
      <w:r w:rsidR="009059B2">
        <w:t>urde</w:t>
      </w:r>
      <w:r w:rsidR="006A3776">
        <w:t xml:space="preserve"> in 17 Sprachen übersetzt.</w:t>
      </w:r>
      <w:r w:rsidR="006A3776" w:rsidRPr="006A3776">
        <w:t xml:space="preserve"> </w:t>
      </w:r>
      <w:r w:rsidR="00A330D5">
        <w:t xml:space="preserve">Bruckners letztes in Deutschland publiziertes Drama </w:t>
      </w:r>
      <w:r w:rsidR="005A408B">
        <w:t xml:space="preserve">war eine Bearbeitung von Kleist </w:t>
      </w:r>
      <w:r w:rsidR="005A408B">
        <w:rPr>
          <w:i/>
        </w:rPr>
        <w:t>Die Marquise von O.</w:t>
      </w:r>
      <w:r w:rsidR="005A408B">
        <w:t xml:space="preserve"> D</w:t>
      </w:r>
      <w:r w:rsidR="009059B2">
        <w:t>as</w:t>
      </w:r>
      <w:r w:rsidR="006A3776">
        <w:t xml:space="preserve"> Schauspiel</w:t>
      </w:r>
      <w:r w:rsidR="005A408B" w:rsidRPr="005A408B">
        <w:t xml:space="preserve"> </w:t>
      </w:r>
      <w:r w:rsidR="005A408B">
        <w:t>erschien</w:t>
      </w:r>
      <w:r w:rsidR="00B02BC5">
        <w:t xml:space="preserve"> noch </w:t>
      </w:r>
      <w:r w:rsidR="005A408B">
        <w:t>1933 im S. Fischer Verlag</w:t>
      </w:r>
      <w:r w:rsidR="006A3776">
        <w:rPr>
          <w:i/>
        </w:rPr>
        <w:t>.</w:t>
      </w:r>
      <w:r w:rsidR="006A3776">
        <w:t xml:space="preserve"> </w:t>
      </w:r>
      <w:r w:rsidR="00B02BC5">
        <w:t>B</w:t>
      </w:r>
      <w:r w:rsidR="006A3776">
        <w:t>ruckners</w:t>
      </w:r>
      <w:r w:rsidR="00FE6259">
        <w:t xml:space="preserve"> </w:t>
      </w:r>
      <w:r w:rsidR="009059B2">
        <w:t>Dramen</w:t>
      </w:r>
      <w:r w:rsidR="00FE6259">
        <w:t xml:space="preserve"> sind psychologisch-soziologische Zeitdiagnosen.</w:t>
      </w:r>
      <w:r w:rsidR="006A3776">
        <w:t xml:space="preserve"> Im Mi</w:t>
      </w:r>
      <w:r w:rsidR="006A3776">
        <w:t>t</w:t>
      </w:r>
      <w:r w:rsidR="006A3776">
        <w:t xml:space="preserve">telpunkt stehen </w:t>
      </w:r>
      <w:r w:rsidR="005A1FE2">
        <w:t xml:space="preserve">dabei </w:t>
      </w:r>
      <w:r w:rsidR="006A3776">
        <w:t>das Individuum und seine Psyche. Dramaturgisch greift Bruckner die von Piscator und Brecht ausgehenden Anregungen auf: die Simultanbühne sowie die Aufl</w:t>
      </w:r>
      <w:r w:rsidR="006A3776">
        <w:t>ö</w:t>
      </w:r>
      <w:r w:rsidR="006A3776">
        <w:t>sung der „aristotelischen“ finalen Handlungsstruktur zugunsten der Szenenreihung und Sze</w:t>
      </w:r>
      <w:r w:rsidR="006A3776">
        <w:t>n</w:t>
      </w:r>
      <w:r w:rsidR="006A3776">
        <w:t xml:space="preserve">enmontage. </w:t>
      </w:r>
    </w:p>
    <w:p w:rsidR="00876AFE" w:rsidRPr="00831916" w:rsidRDefault="005A1FE2" w:rsidP="000070F9">
      <w:pPr>
        <w:spacing w:after="0"/>
        <w:ind w:firstLine="708"/>
        <w:jc w:val="both"/>
      </w:pPr>
      <w:r>
        <w:t>Am 27. Februar 1933, dem Tag des Reichstagsbrandes, befindet sich Bruckner auf e</w:t>
      </w:r>
      <w:r>
        <w:t>i</w:t>
      </w:r>
      <w:r>
        <w:t>ner Reise nach Wien. A</w:t>
      </w:r>
      <w:r w:rsidR="00B34186">
        <w:t>larmier</w:t>
      </w:r>
      <w:r>
        <w:t>t durch die Nachricht</w:t>
      </w:r>
      <w:r w:rsidR="009059B2">
        <w:t xml:space="preserve"> über</w:t>
      </w:r>
      <w:r>
        <w:t xml:space="preserve"> die einsetzende Verhaftungswelle fasst er spontan den Entschluss im Ausland zu bleiben</w:t>
      </w:r>
      <w:r w:rsidR="009059B2">
        <w:t xml:space="preserve">; er </w:t>
      </w:r>
      <w:r>
        <w:t>l</w:t>
      </w:r>
      <w:r w:rsidR="009059B2">
        <w:t>ä</w:t>
      </w:r>
      <w:r>
        <w:t xml:space="preserve">sst seine Familie </w:t>
      </w:r>
      <w:r w:rsidR="005A408B">
        <w:t xml:space="preserve">ins Exil </w:t>
      </w:r>
      <w:r>
        <w:t>nac</w:t>
      </w:r>
      <w:r>
        <w:t>h</w:t>
      </w:r>
      <w:r>
        <w:t xml:space="preserve">kommen. </w:t>
      </w:r>
      <w:r w:rsidR="005A408B">
        <w:t>E</w:t>
      </w:r>
      <w:r>
        <w:t xml:space="preserve">r nimmt vorläufigen Aufenthalt in Wien, hält sich ab Mai 1933 </w:t>
      </w:r>
      <w:r w:rsidR="005A408B">
        <w:t xml:space="preserve">dann </w:t>
      </w:r>
      <w:r>
        <w:t>in Paris auf, später, aufgrund der niedrigeren Lebenshaltun</w:t>
      </w:r>
      <w:r w:rsidR="009059B2">
        <w:t>g</w:t>
      </w:r>
      <w:r>
        <w:t>skosten, in Nizza und zeitweilig erneut in P</w:t>
      </w:r>
      <w:r>
        <w:t>a</w:t>
      </w:r>
      <w:r>
        <w:t xml:space="preserve">ris. Er befindet sich in großen finanziellen Schwierigkeiten, da </w:t>
      </w:r>
      <w:r w:rsidR="005A408B">
        <w:t>sein</w:t>
      </w:r>
      <w:r>
        <w:t>e Erfolgsstücke nicht nachgespielt werden</w:t>
      </w:r>
      <w:r w:rsidR="00B960F7">
        <w:t xml:space="preserve"> und</w:t>
      </w:r>
      <w:r>
        <w:t xml:space="preserve"> das neu</w:t>
      </w:r>
      <w:r w:rsidR="005A408B">
        <w:t>este</w:t>
      </w:r>
      <w:r>
        <w:t xml:space="preserve"> Stück </w:t>
      </w:r>
      <w:r>
        <w:rPr>
          <w:i/>
        </w:rPr>
        <w:t>Die Rassen</w:t>
      </w:r>
      <w:r>
        <w:t xml:space="preserve"> </w:t>
      </w:r>
      <w:r w:rsidR="00B960F7">
        <w:t>in Österreich aus politischen Gründen auf Widerstand stößt</w:t>
      </w:r>
      <w:r>
        <w:t>.</w:t>
      </w:r>
      <w:r w:rsidR="00E77016">
        <w:t xml:space="preserve"> </w:t>
      </w:r>
      <w:r w:rsidR="005A408B">
        <w:rPr>
          <w:i/>
        </w:rPr>
        <w:t xml:space="preserve">Die Rassen </w:t>
      </w:r>
      <w:r w:rsidR="005A408B">
        <w:t xml:space="preserve">ist eines der wichtigsten Dramen der frühen Exilphase. </w:t>
      </w:r>
      <w:r w:rsidR="00B960F7">
        <w:t xml:space="preserve">Die Uraufführung </w:t>
      </w:r>
      <w:r w:rsidR="005A408B">
        <w:t>des Stücks</w:t>
      </w:r>
      <w:r w:rsidR="00876AFE">
        <w:rPr>
          <w:i/>
        </w:rPr>
        <w:t xml:space="preserve"> </w:t>
      </w:r>
      <w:r w:rsidR="00B960F7">
        <w:t>findet</w:t>
      </w:r>
      <w:r w:rsidR="00876AFE">
        <w:t xml:space="preserve"> im November 1933 </w:t>
      </w:r>
      <w:r w:rsidR="005A408B">
        <w:t xml:space="preserve">unter der Regie von Gustav Hartung unter Mitwirkung prominenter Schauspielerinnen und Schauspieler </w:t>
      </w:r>
      <w:r w:rsidR="00876AFE">
        <w:t xml:space="preserve">am Zürcher Schauspielhaus </w:t>
      </w:r>
      <w:r w:rsidR="00B960F7">
        <w:t>stat</w:t>
      </w:r>
      <w:r w:rsidR="00876AFE">
        <w:t>t;</w:t>
      </w:r>
      <w:r w:rsidR="00A41BA9">
        <w:rPr>
          <w:rStyle w:val="Funotenzeichen"/>
        </w:rPr>
        <w:footnoteReference w:id="2"/>
      </w:r>
      <w:r w:rsidR="00876AFE">
        <w:t xml:space="preserve"> die Buchausgabe erscheint 1934 im </w:t>
      </w:r>
      <w:r w:rsidR="00B960F7">
        <w:t xml:space="preserve">Zürcher </w:t>
      </w:r>
      <w:r w:rsidR="00876AFE">
        <w:t xml:space="preserve">Verlag </w:t>
      </w:r>
      <w:proofErr w:type="spellStart"/>
      <w:r w:rsidR="00876AFE">
        <w:t>Oprecht</w:t>
      </w:r>
      <w:proofErr w:type="spellEnd"/>
      <w:r w:rsidR="00876AFE">
        <w:t xml:space="preserve"> &amp; Helbling. </w:t>
      </w:r>
      <w:r w:rsidR="00981167">
        <w:t xml:space="preserve">Am </w:t>
      </w:r>
      <w:r w:rsidR="00876AFE">
        <w:t xml:space="preserve">8. </w:t>
      </w:r>
      <w:r w:rsidR="00876AFE" w:rsidRPr="00057BE2">
        <w:t xml:space="preserve">März 1934 </w:t>
      </w:r>
      <w:r w:rsidR="00876AFE">
        <w:t xml:space="preserve">wird </w:t>
      </w:r>
      <w:r w:rsidR="00B960F7">
        <w:t>das Stück</w:t>
      </w:r>
      <w:r w:rsidR="00876AFE">
        <w:t xml:space="preserve"> </w:t>
      </w:r>
      <w:r w:rsidR="00981167">
        <w:t xml:space="preserve">in französischer Übersetzung </w:t>
      </w:r>
      <w:r w:rsidR="00876AFE">
        <w:t>i</w:t>
      </w:r>
      <w:r w:rsidR="00876AFE" w:rsidRPr="00057BE2">
        <w:t xml:space="preserve">m Théâtre de l‘ </w:t>
      </w:r>
      <w:proofErr w:type="spellStart"/>
      <w:r w:rsidR="00876AFE" w:rsidRPr="00057BE2">
        <w:t>Œuvre</w:t>
      </w:r>
      <w:proofErr w:type="spellEnd"/>
      <w:r w:rsidR="00876AFE">
        <w:t xml:space="preserve"> in Paris unter der Regie von</w:t>
      </w:r>
      <w:r w:rsidR="00876AFE" w:rsidRPr="00057BE2">
        <w:t xml:space="preserve"> Raymond Rouleau</w:t>
      </w:r>
      <w:r w:rsidR="00876AFE">
        <w:t xml:space="preserve"> mit großem Erfolg nachgespielt.</w:t>
      </w:r>
      <w:r w:rsidR="00A41BA9">
        <w:t xml:space="preserve"> </w:t>
      </w:r>
    </w:p>
    <w:p w:rsidR="00FE6259" w:rsidRDefault="00FE6259" w:rsidP="000070F9">
      <w:pPr>
        <w:spacing w:after="0"/>
        <w:jc w:val="both"/>
      </w:pPr>
    </w:p>
    <w:p w:rsidR="001F28F9" w:rsidRDefault="001F28F9" w:rsidP="000070F9">
      <w:pPr>
        <w:spacing w:after="0"/>
        <w:jc w:val="both"/>
      </w:pPr>
      <w:r>
        <w:tab/>
      </w:r>
      <w:r w:rsidR="00B960F7">
        <w:t xml:space="preserve">Bruckners Vertragskündigung </w:t>
      </w:r>
      <w:r>
        <w:t xml:space="preserve">war ein Brief von Gottfried </w:t>
      </w:r>
      <w:proofErr w:type="spellStart"/>
      <w:r>
        <w:t>Bermann</w:t>
      </w:r>
      <w:proofErr w:type="spellEnd"/>
      <w:r>
        <w:t xml:space="preserve"> Fischer vom 31. Dezember 1933 aus St. Moritz</w:t>
      </w:r>
      <w:r w:rsidR="00B960F7" w:rsidRPr="00B960F7">
        <w:t xml:space="preserve"> </w:t>
      </w:r>
      <w:r w:rsidR="00B960F7">
        <w:t>vorangegangen</w:t>
      </w:r>
      <w:r>
        <w:t xml:space="preserve">, in dem </w:t>
      </w:r>
      <w:proofErr w:type="spellStart"/>
      <w:r w:rsidR="00B960F7">
        <w:t>Bermann</w:t>
      </w:r>
      <w:proofErr w:type="spellEnd"/>
      <w:r w:rsidR="00B960F7">
        <w:t xml:space="preserve"> Fischer </w:t>
      </w:r>
      <w:r>
        <w:t xml:space="preserve">Bruckner </w:t>
      </w:r>
      <w:r w:rsidR="00B960F7">
        <w:t>versiche</w:t>
      </w:r>
      <w:r w:rsidR="00B960F7">
        <w:t>r</w:t>
      </w:r>
      <w:r>
        <w:t xml:space="preserve">te, dass er von </w:t>
      </w:r>
      <w:r>
        <w:rPr>
          <w:i/>
        </w:rPr>
        <w:t>Die Rassen</w:t>
      </w:r>
      <w:r>
        <w:t xml:space="preserve"> außerordentlich beeindruckt sei</w:t>
      </w:r>
      <w:r w:rsidR="00473504">
        <w:t>.</w:t>
      </w:r>
      <w:r w:rsidR="00981167" w:rsidRPr="00981167">
        <w:rPr>
          <w:rStyle w:val="Funotenzeichen"/>
        </w:rPr>
        <w:t xml:space="preserve"> </w:t>
      </w:r>
      <w:r w:rsidR="00981167">
        <w:rPr>
          <w:rStyle w:val="Funotenzeichen"/>
        </w:rPr>
        <w:footnoteReference w:id="3"/>
      </w:r>
      <w:r w:rsidR="00473504">
        <w:t xml:space="preserve"> </w:t>
      </w:r>
      <w:r w:rsidR="00B960F7">
        <w:t>– N</w:t>
      </w:r>
      <w:r w:rsidR="00473504">
        <w:t xml:space="preserve">och wichtiger als das Lob ist </w:t>
      </w:r>
      <w:r w:rsidR="00473504">
        <w:lastRenderedPageBreak/>
        <w:t>Berman Fischer jedoch der Vergleich von Bruckners Stück mit den Texten anderer Emigra</w:t>
      </w:r>
      <w:r w:rsidR="00473504">
        <w:t>n</w:t>
      </w:r>
      <w:r w:rsidR="00473504">
        <w:t>ten</w:t>
      </w:r>
      <w:r>
        <w:t>:</w:t>
      </w:r>
    </w:p>
    <w:p w:rsidR="001F28F9" w:rsidRDefault="001F28F9" w:rsidP="000070F9">
      <w:pPr>
        <w:spacing w:after="0"/>
        <w:ind w:left="1134"/>
        <w:jc w:val="both"/>
      </w:pPr>
      <w:r>
        <w:t xml:space="preserve">„Soeben las ich Ihr Stück, mit Bewunderung für Ihre großartige Objektivität. Sie haben das einzige und erste Werk geschaffen, das weit über der bisher üblichen oberflächlichen </w:t>
      </w:r>
      <w:proofErr w:type="spellStart"/>
      <w:r w:rsidR="00473504">
        <w:t>Kläfferei</w:t>
      </w:r>
      <w:proofErr w:type="spellEnd"/>
      <w:r w:rsidR="00473504">
        <w:t xml:space="preserve"> steht, die sich </w:t>
      </w:r>
      <w:proofErr w:type="spellStart"/>
      <w:r w:rsidR="00473504">
        <w:t>garnicht</w:t>
      </w:r>
      <w:proofErr w:type="spellEnd"/>
      <w:r w:rsidR="00473504">
        <w:t xml:space="preserve"> von den Methoden unserer </w:t>
      </w:r>
      <w:proofErr w:type="spellStart"/>
      <w:r w:rsidR="00473504">
        <w:t>ve</w:t>
      </w:r>
      <w:r w:rsidR="00473504">
        <w:t>r</w:t>
      </w:r>
      <w:r w:rsidR="00473504">
        <w:t>haßten</w:t>
      </w:r>
      <w:proofErr w:type="spellEnd"/>
      <w:r w:rsidR="00473504">
        <w:t xml:space="preserve"> Gegner unterscheidet. Dieser Hieb sitzt. Davon abgesehen ist das Ihr be</w:t>
      </w:r>
      <w:r w:rsidR="00473504">
        <w:t>s</w:t>
      </w:r>
      <w:r w:rsidR="00473504">
        <w:t>tes Stück, das die deutsche und die jüdische Tragödie gültig gestaltet. Ich wü</w:t>
      </w:r>
      <w:r w:rsidR="00473504">
        <w:t>n</w:t>
      </w:r>
      <w:r w:rsidR="00473504">
        <w:t xml:space="preserve">sche, </w:t>
      </w:r>
      <w:proofErr w:type="spellStart"/>
      <w:r w:rsidR="00473504">
        <w:t>daß</w:t>
      </w:r>
      <w:proofErr w:type="spellEnd"/>
      <w:r w:rsidR="00473504">
        <w:t xml:space="preserve"> auch andere, heute in der Emigration lebende Männer, die wir verehrten, durch solche unangreifbare Leistung der Welt bewiesen hätten, was an Ihnen für Deutschland verloren ging, anstatt sich selbst und Ihren We</w:t>
      </w:r>
      <w:r w:rsidR="00B960F7">
        <w:t>r</w:t>
      </w:r>
      <w:r w:rsidR="00473504">
        <w:t>t in nutzlosen und n</w:t>
      </w:r>
      <w:r w:rsidR="00473504">
        <w:t>i</w:t>
      </w:r>
      <w:r w:rsidR="00473504">
        <w:t>veaulosen Pamphleten zu entwürdigen.“</w:t>
      </w:r>
      <w:r>
        <w:t xml:space="preserve"> </w:t>
      </w:r>
    </w:p>
    <w:p w:rsidR="001F28F9" w:rsidRDefault="00473504" w:rsidP="000070F9">
      <w:pPr>
        <w:spacing w:after="0"/>
        <w:jc w:val="both"/>
      </w:pPr>
      <w:proofErr w:type="spellStart"/>
      <w:r>
        <w:t>Bermann</w:t>
      </w:r>
      <w:proofErr w:type="spellEnd"/>
      <w:r>
        <w:t xml:space="preserve"> Fischer betont</w:t>
      </w:r>
      <w:r w:rsidR="00BF668E">
        <w:t xml:space="preserve"> außerdem</w:t>
      </w:r>
      <w:r>
        <w:t xml:space="preserve">, dass der Verlag </w:t>
      </w:r>
      <w:r w:rsidR="00B960F7">
        <w:t xml:space="preserve">weder gleichgeschaltet noch </w:t>
      </w:r>
      <w:r>
        <w:t>in seiner U</w:t>
      </w:r>
      <w:r>
        <w:t>n</w:t>
      </w:r>
      <w:r>
        <w:t>abhängigkeit bedroht sei:</w:t>
      </w:r>
    </w:p>
    <w:p w:rsidR="004B1C3C" w:rsidRDefault="00837CB9" w:rsidP="000070F9">
      <w:pPr>
        <w:spacing w:after="0"/>
        <w:ind w:left="1134"/>
        <w:jc w:val="both"/>
      </w:pPr>
      <w:r>
        <w:t xml:space="preserve">„Wir sind heute genau so wenig wie vor Monaten, als wir uns in Paris sahen, gleichgeschaltet und haben nach wie vor unsere Unabhängigkeit. Es braucht nicht betont zu werden, </w:t>
      </w:r>
      <w:proofErr w:type="spellStart"/>
      <w:r>
        <w:t>daß</w:t>
      </w:r>
      <w:proofErr w:type="spellEnd"/>
      <w:r>
        <w:t xml:space="preserve"> wir, insbesondere in </w:t>
      </w:r>
      <w:proofErr w:type="gramStart"/>
      <w:r>
        <w:t>der</w:t>
      </w:r>
      <w:proofErr w:type="gramEnd"/>
      <w:r>
        <w:t xml:space="preserve"> N[</w:t>
      </w:r>
      <w:proofErr w:type="spellStart"/>
      <w:r>
        <w:t>euen</w:t>
      </w:r>
      <w:proofErr w:type="spellEnd"/>
      <w:r>
        <w:t>] R[</w:t>
      </w:r>
      <w:proofErr w:type="spellStart"/>
      <w:r>
        <w:t>undschau</w:t>
      </w:r>
      <w:proofErr w:type="spellEnd"/>
      <w:r>
        <w:t>], jegliche p</w:t>
      </w:r>
      <w:r>
        <w:t>o</w:t>
      </w:r>
      <w:r>
        <w:t>litische Aggressivität und Kritik vermeiden müssen. Wir haben aber eine Aufg</w:t>
      </w:r>
      <w:r>
        <w:t>a</w:t>
      </w:r>
      <w:r>
        <w:t>be, die groß genug ist, um diesen Verzicht zu rechtfertigen. Wir haben den B</w:t>
      </w:r>
      <w:r>
        <w:t>e</w:t>
      </w:r>
      <w:r>
        <w:t>stand an deutschem Geist zu erhalten, für andere Zeiten und dieses Verlag</w:t>
      </w:r>
      <w:r>
        <w:t>s</w:t>
      </w:r>
      <w:r>
        <w:t>instrument, das einmal gestört, nicht mehr aufgebaut werden kann, so lange es geht zu verteidigen.</w:t>
      </w:r>
      <w:r w:rsidR="004B1C3C">
        <w:t xml:space="preserve"> Wie wir es machen und </w:t>
      </w:r>
      <w:proofErr w:type="spellStart"/>
      <w:r w:rsidR="004B1C3C">
        <w:t>daß</w:t>
      </w:r>
      <w:proofErr w:type="spellEnd"/>
      <w:r w:rsidR="004B1C3C">
        <w:t xml:space="preserve"> wir es ohne Kompromisse tun, ersehen Sie aus unserem vergangenen Herbstprogramm und aus dem Almanach.“</w:t>
      </w:r>
    </w:p>
    <w:p w:rsidR="004B1C3C" w:rsidRDefault="00B960F7" w:rsidP="000070F9">
      <w:pPr>
        <w:spacing w:after="0"/>
        <w:jc w:val="both"/>
      </w:pPr>
      <w:r>
        <w:t>Auf dieses Selbstlob</w:t>
      </w:r>
      <w:r w:rsidR="004B1C3C">
        <w:t xml:space="preserve"> folgt </w:t>
      </w:r>
      <w:r w:rsidR="00BF668E">
        <w:t>Pathos</w:t>
      </w:r>
      <w:r w:rsidR="004B1C3C">
        <w:t>:</w:t>
      </w:r>
      <w:r w:rsidR="009F4240">
        <w:t xml:space="preserve"> </w:t>
      </w:r>
      <w:r w:rsidR="004B1C3C">
        <w:t>„Wir kämpfen drinnen, Sie draußen, jeder nach seinen Möglichkeiten.“</w:t>
      </w:r>
      <w:r w:rsidR="009F4240">
        <w:t xml:space="preserve"> </w:t>
      </w:r>
    </w:p>
    <w:p w:rsidR="00B02BC5" w:rsidRDefault="00B02BC5" w:rsidP="000070F9">
      <w:pPr>
        <w:spacing w:after="0"/>
        <w:jc w:val="both"/>
      </w:pPr>
    </w:p>
    <w:p w:rsidR="004B1C3C" w:rsidRDefault="004B1C3C" w:rsidP="000070F9">
      <w:pPr>
        <w:spacing w:after="0"/>
        <w:jc w:val="both"/>
      </w:pPr>
      <w:r>
        <w:tab/>
        <w:t xml:space="preserve">Obwohl </w:t>
      </w:r>
      <w:r w:rsidR="00BF668E">
        <w:t>das</w:t>
      </w:r>
      <w:r w:rsidR="009F4240">
        <w:t xml:space="preserve"> Schreiben</w:t>
      </w:r>
      <w:r>
        <w:t xml:space="preserve"> grundsätzliches Einvernehmen </w:t>
      </w:r>
      <w:r w:rsidR="009F4240">
        <w:t xml:space="preserve">zwischen ihm und Bruckner </w:t>
      </w:r>
      <w:r>
        <w:t xml:space="preserve">suggeriert, </w:t>
      </w:r>
      <w:r w:rsidR="009F4240">
        <w:t>wird</w:t>
      </w:r>
      <w:r>
        <w:t xml:space="preserve"> aus verschiedenen</w:t>
      </w:r>
      <w:r w:rsidR="009F4240">
        <w:t xml:space="preserve"> </w:t>
      </w:r>
      <w:r>
        <w:t>Anspielungen, so vor allem auf die</w:t>
      </w:r>
      <w:r w:rsidR="009F4240">
        <w:t xml:space="preserve"> Rolle der</w:t>
      </w:r>
      <w:r>
        <w:t xml:space="preserve"> </w:t>
      </w:r>
      <w:r>
        <w:rPr>
          <w:i/>
        </w:rPr>
        <w:t>Neuen Run</w:t>
      </w:r>
      <w:r>
        <w:rPr>
          <w:i/>
        </w:rPr>
        <w:t>d</w:t>
      </w:r>
      <w:r>
        <w:rPr>
          <w:i/>
        </w:rPr>
        <w:t>schau</w:t>
      </w:r>
      <w:r>
        <w:t xml:space="preserve"> </w:t>
      </w:r>
      <w:r w:rsidR="00BF668E">
        <w:t xml:space="preserve">im Dritten Reich, </w:t>
      </w:r>
      <w:r>
        <w:t xml:space="preserve">oder </w:t>
      </w:r>
      <w:r w:rsidR="00BF668E">
        <w:t xml:space="preserve">durch </w:t>
      </w:r>
      <w:r w:rsidR="009F4240">
        <w:t>die Erwähnung des</w:t>
      </w:r>
      <w:r>
        <w:t xml:space="preserve"> „Reichsverband</w:t>
      </w:r>
      <w:r w:rsidR="009F4240">
        <w:t>es</w:t>
      </w:r>
      <w:r>
        <w:t>“</w:t>
      </w:r>
      <w:r w:rsidR="009F4240">
        <w:rPr>
          <w:rStyle w:val="Funotenzeichen"/>
        </w:rPr>
        <w:footnoteReference w:id="4"/>
      </w:r>
      <w:r>
        <w:t xml:space="preserve"> untergründig ein Dissens </w:t>
      </w:r>
      <w:r w:rsidR="009F4240">
        <w:t>erkennb</w:t>
      </w:r>
      <w:r>
        <w:t xml:space="preserve">ar. </w:t>
      </w:r>
      <w:proofErr w:type="spellStart"/>
      <w:r>
        <w:t>Bermann</w:t>
      </w:r>
      <w:proofErr w:type="spellEnd"/>
      <w:r>
        <w:t xml:space="preserve"> Fischer </w:t>
      </w:r>
      <w:r w:rsidR="00BF668E">
        <w:t xml:space="preserve">möchte ihn nicht thematisieren; er </w:t>
      </w:r>
      <w:r>
        <w:t>bemüht sich</w:t>
      </w:r>
      <w:r w:rsidR="00981167">
        <w:t xml:space="preserve"> offe</w:t>
      </w:r>
      <w:r w:rsidR="00981167">
        <w:t>n</w:t>
      </w:r>
      <w:r w:rsidR="00981167">
        <w:t>sichtlich</w:t>
      </w:r>
      <w:r>
        <w:t xml:space="preserve">, den Dissens durch kräftiges Lob </w:t>
      </w:r>
      <w:r w:rsidR="00BF668E">
        <w:t>d</w:t>
      </w:r>
      <w:r>
        <w:t xml:space="preserve">es neuen Stückes </w:t>
      </w:r>
      <w:r w:rsidR="00981167">
        <w:t>so</w:t>
      </w:r>
      <w:r>
        <w:t xml:space="preserve">wie </w:t>
      </w:r>
      <w:r w:rsidR="00BF668E">
        <w:t>durch</w:t>
      </w:r>
      <w:r>
        <w:t xml:space="preserve"> abschätzige </w:t>
      </w:r>
      <w:r w:rsidR="00BF668E">
        <w:t>B</w:t>
      </w:r>
      <w:r w:rsidR="00BF668E">
        <w:t>e</w:t>
      </w:r>
      <w:r w:rsidR="00BF668E">
        <w:t>merkungen</w:t>
      </w:r>
      <w:r>
        <w:t xml:space="preserve"> über die Produktion anderer Emigranten </w:t>
      </w:r>
      <w:r w:rsidR="00DC6660">
        <w:t>in den Hintergrund zu drängen. Auf Probleme der verlegerischen Verbindung geht er nicht ein.</w:t>
      </w:r>
    </w:p>
    <w:p w:rsidR="00DC6660" w:rsidRDefault="00BF668E" w:rsidP="000070F9">
      <w:pPr>
        <w:spacing w:after="0"/>
        <w:ind w:firstLine="708"/>
        <w:jc w:val="both"/>
      </w:pPr>
      <w:r>
        <w:t>Zeitlich parallel, also ebenfalls am</w:t>
      </w:r>
      <w:r w:rsidR="00DC6660">
        <w:t xml:space="preserve"> 31. Dezember 1933</w:t>
      </w:r>
      <w:r w:rsidR="00981167">
        <w:t>,</w:t>
      </w:r>
      <w:r w:rsidR="00DC6660">
        <w:t xml:space="preserve"> richtet Bruckner ein Schreiben </w:t>
      </w:r>
      <w:r>
        <w:t xml:space="preserve">an Conrad </w:t>
      </w:r>
      <w:proofErr w:type="spellStart"/>
      <w:r>
        <w:t>Maril</w:t>
      </w:r>
      <w:proofErr w:type="spellEnd"/>
      <w:r>
        <w:t xml:space="preserve">, </w:t>
      </w:r>
      <w:r w:rsidR="00DC6660">
        <w:t xml:space="preserve">den Leiter des Bühnenvertriebs im S. Fischer Verlag. </w:t>
      </w:r>
      <w:r>
        <w:t xml:space="preserve">Gegenüber </w:t>
      </w:r>
      <w:proofErr w:type="spellStart"/>
      <w:r>
        <w:t>Maril</w:t>
      </w:r>
      <w:proofErr w:type="spellEnd"/>
      <w:r>
        <w:t>, dem alten Freund, legt sich Bruckner keine Zurückhaltung auf. Schon</w:t>
      </w:r>
      <w:r w:rsidR="00DC6660">
        <w:t xml:space="preserve"> der erste Satz macht deu</w:t>
      </w:r>
      <w:r w:rsidR="00DC6660">
        <w:t>t</w:t>
      </w:r>
      <w:r w:rsidR="00DC6660">
        <w:t xml:space="preserve">lich, was Bruckner über </w:t>
      </w:r>
      <w:proofErr w:type="spellStart"/>
      <w:r w:rsidR="00DC6660">
        <w:t>Bermann</w:t>
      </w:r>
      <w:proofErr w:type="spellEnd"/>
      <w:r w:rsidR="00DC6660">
        <w:t xml:space="preserve"> Fischer denkt</w:t>
      </w:r>
      <w:r>
        <w:t>:</w:t>
      </w:r>
      <w:r w:rsidR="00DC6660">
        <w:t xml:space="preserve"> </w:t>
      </w:r>
      <w:r>
        <w:t>E</w:t>
      </w:r>
      <w:r w:rsidR="00DC6660">
        <w:t xml:space="preserve">r </w:t>
      </w:r>
      <w:r w:rsidR="00CE7A22">
        <w:t>setz</w:t>
      </w:r>
      <w:r w:rsidR="00DC6660">
        <w:t xml:space="preserve">t ihn </w:t>
      </w:r>
      <w:r w:rsidR="00CE7A22">
        <w:t xml:space="preserve">gleich </w:t>
      </w:r>
      <w:r w:rsidR="00DC6660">
        <w:t xml:space="preserve">mit dem Geheimrat </w:t>
      </w:r>
      <w:r w:rsidR="00374070">
        <w:t>Mar</w:t>
      </w:r>
      <w:r w:rsidR="00DC6660">
        <w:t>x</w:t>
      </w:r>
      <w:r w:rsidR="00CE7A22">
        <w:t xml:space="preserve"> in seinem Stück</w:t>
      </w:r>
      <w:r w:rsidR="00374070">
        <w:t xml:space="preserve">, </w:t>
      </w:r>
      <w:r w:rsidR="00981167">
        <w:t>dem</w:t>
      </w:r>
      <w:r w:rsidR="00374070">
        <w:t xml:space="preserve"> Vater</w:t>
      </w:r>
      <w:r w:rsidR="00981167">
        <w:t xml:space="preserve"> der Protagonistin</w:t>
      </w:r>
      <w:r>
        <w:t xml:space="preserve">. Marx, Jude und Fabrikbesitzer, </w:t>
      </w:r>
      <w:r w:rsidR="00CE7A22">
        <w:t xml:space="preserve">konterkariert </w:t>
      </w:r>
      <w:r w:rsidR="004B57B3">
        <w:t xml:space="preserve">in dem Stück </w:t>
      </w:r>
      <w:r w:rsidR="00CE7A22">
        <w:t>den Boykott, den das Ausland aufgrund der antisemitischen Ausschreitungen a</w:t>
      </w:r>
      <w:r w:rsidR="00CE7A22">
        <w:t>n</w:t>
      </w:r>
      <w:r w:rsidR="00CE7A22">
        <w:t>droht, indem er behauptet, dass alles sei nichts anderes als „</w:t>
      </w:r>
      <w:proofErr w:type="spellStart"/>
      <w:r w:rsidR="00CE7A22">
        <w:t>Greuelpropaganda</w:t>
      </w:r>
      <w:proofErr w:type="spellEnd"/>
      <w:r w:rsidR="00CE7A22">
        <w:t>“</w:t>
      </w:r>
      <w:r w:rsidR="004B57B3">
        <w:t xml:space="preserve">. So handelt für Bruckner auch </w:t>
      </w:r>
      <w:proofErr w:type="spellStart"/>
      <w:r w:rsidR="004B57B3">
        <w:t>Bermann</w:t>
      </w:r>
      <w:proofErr w:type="spellEnd"/>
      <w:r w:rsidR="004B57B3">
        <w:t xml:space="preserve"> Fischer</w:t>
      </w:r>
      <w:r w:rsidR="00DC6660">
        <w:t>:</w:t>
      </w:r>
    </w:p>
    <w:p w:rsidR="00DC6660" w:rsidRDefault="00DC6660" w:rsidP="000070F9">
      <w:pPr>
        <w:spacing w:after="0"/>
        <w:ind w:left="1134"/>
        <w:jc w:val="both"/>
      </w:pPr>
      <w:r>
        <w:t xml:space="preserve">„Lieber Conny, in meinem neuen Stück zeige ich als die </w:t>
      </w:r>
      <w:proofErr w:type="spellStart"/>
      <w:r w:rsidRPr="00DC6660">
        <w:t>deprimierendste</w:t>
      </w:r>
      <w:proofErr w:type="spellEnd"/>
      <w:r>
        <w:t xml:space="preserve"> Ersche</w:t>
      </w:r>
      <w:r>
        <w:t>i</w:t>
      </w:r>
      <w:r>
        <w:t xml:space="preserve">nung dieser Monate den Juden, der sich in Hymnen ergeht, um seine Fabrik zu </w:t>
      </w:r>
      <w:r>
        <w:lastRenderedPageBreak/>
        <w:t xml:space="preserve">retten. Eine Seifenfabrik, nicht eine der geistigen Haltung, die von der ‚Freien Bühne‘ bis zu den drei </w:t>
      </w:r>
      <w:proofErr w:type="spellStart"/>
      <w:r>
        <w:t>Tr</w:t>
      </w:r>
      <w:proofErr w:type="spellEnd"/>
      <w:r>
        <w:t>[</w:t>
      </w:r>
      <w:proofErr w:type="spellStart"/>
      <w:r>
        <w:t>otzki</w:t>
      </w:r>
      <w:proofErr w:type="spellEnd"/>
      <w:r>
        <w:t xml:space="preserve">-] Bänden einmal wirklich einheitlich war. Mit </w:t>
      </w:r>
      <w:r>
        <w:rPr>
          <w:i/>
        </w:rPr>
        <w:t>diesem</w:t>
      </w:r>
      <w:r>
        <w:t xml:space="preserve"> Verlag hatte ich abgeschlossen, nicht mit dem, der Hymnen in seiner Zei</w:t>
      </w:r>
      <w:r>
        <w:t>t</w:t>
      </w:r>
      <w:r>
        <w:t xml:space="preserve">schrift [der </w:t>
      </w:r>
      <w:r>
        <w:rPr>
          <w:i/>
        </w:rPr>
        <w:t>Neuen Rundschau</w:t>
      </w:r>
      <w:r>
        <w:t>], der kriegsfrohen Siegheil Fliegerei und der Wi</w:t>
      </w:r>
      <w:r>
        <w:t>d</w:t>
      </w:r>
      <w:r>
        <w:t xml:space="preserve">mung, die </w:t>
      </w:r>
      <w:r w:rsidR="00FE5B2A">
        <w:t>ein Alpdruck bleibt.“</w:t>
      </w:r>
      <w:r w:rsidR="00FE5B2A">
        <w:rPr>
          <w:rStyle w:val="Funotenzeichen"/>
        </w:rPr>
        <w:footnoteReference w:id="5"/>
      </w:r>
      <w:r>
        <w:t xml:space="preserve"> </w:t>
      </w:r>
    </w:p>
    <w:p w:rsidR="00FE5B2A" w:rsidRDefault="004B57B3" w:rsidP="000070F9">
      <w:pPr>
        <w:spacing w:after="0"/>
        <w:jc w:val="both"/>
      </w:pPr>
      <w:r>
        <w:t xml:space="preserve">Der S. Fischer Verlag war früher ein liberaler Verlag. </w:t>
      </w:r>
      <w:r w:rsidR="00FE5B2A">
        <w:t>Jetzt bleibe ihm</w:t>
      </w:r>
      <w:r>
        <w:t>, Bruckner,</w:t>
      </w:r>
      <w:r w:rsidR="00FE5B2A">
        <w:t xml:space="preserve"> kaum etwas anderes übrig</w:t>
      </w:r>
      <w:r w:rsidR="00BA27F4">
        <w:t xml:space="preserve"> als sich öffentlich vom S. Fischer Verlag loszusagen</w:t>
      </w:r>
      <w:r w:rsidR="00FE5B2A">
        <w:t>.</w:t>
      </w:r>
    </w:p>
    <w:p w:rsidR="004B57B3" w:rsidRDefault="00FE5B2A" w:rsidP="000070F9">
      <w:pPr>
        <w:spacing w:after="0"/>
        <w:jc w:val="both"/>
      </w:pPr>
      <w:r>
        <w:tab/>
      </w:r>
      <w:proofErr w:type="spellStart"/>
      <w:r w:rsidR="004B57B3">
        <w:t>Maril</w:t>
      </w:r>
      <w:proofErr w:type="spellEnd"/>
      <w:r w:rsidR="004B57B3">
        <w:t xml:space="preserve"> unterrichtete </w:t>
      </w:r>
      <w:proofErr w:type="spellStart"/>
      <w:r w:rsidR="004B57B3">
        <w:t>Bermann</w:t>
      </w:r>
      <w:proofErr w:type="spellEnd"/>
      <w:r w:rsidR="004B57B3">
        <w:t xml:space="preserve"> Fischer offensichtlich über diesen Brief und vor allem den Vergleich mit dem Geheimrat Marx. – A</w:t>
      </w:r>
      <w:r>
        <w:t xml:space="preserve">uf den Brief </w:t>
      </w:r>
      <w:r w:rsidR="00AD110B">
        <w:t xml:space="preserve">an </w:t>
      </w:r>
      <w:proofErr w:type="spellStart"/>
      <w:r w:rsidR="00AD110B">
        <w:t>Maril</w:t>
      </w:r>
      <w:proofErr w:type="spellEnd"/>
      <w:r w:rsidR="00AD110B">
        <w:t xml:space="preserve"> </w:t>
      </w:r>
      <w:r>
        <w:t xml:space="preserve">antwortet </w:t>
      </w:r>
      <w:r w:rsidR="00AD110B">
        <w:t xml:space="preserve">Gottfried </w:t>
      </w:r>
      <w:proofErr w:type="spellStart"/>
      <w:r w:rsidR="00AD110B">
        <w:t>Be</w:t>
      </w:r>
      <w:r w:rsidR="00AD110B">
        <w:t>r</w:t>
      </w:r>
      <w:r w:rsidR="00AD110B">
        <w:t>mann</w:t>
      </w:r>
      <w:proofErr w:type="spellEnd"/>
      <w:r w:rsidR="00AD110B">
        <w:t xml:space="preserve"> Fischer </w:t>
      </w:r>
      <w:r>
        <w:t>mit einem Schreiben aus der Schweiz vom 4. Januar 1934.</w:t>
      </w:r>
      <w:r w:rsidR="00BD5A7A">
        <w:rPr>
          <w:rStyle w:val="Funotenzeichen"/>
        </w:rPr>
        <w:footnoteReference w:id="6"/>
      </w:r>
      <w:r>
        <w:t xml:space="preserve"> Der Tenor ist äh</w:t>
      </w:r>
      <w:r>
        <w:t>n</w:t>
      </w:r>
      <w:r>
        <w:t xml:space="preserve">lich wie der des Briefes vom 31. Dezember. </w:t>
      </w:r>
      <w:r w:rsidR="00BA27F4">
        <w:t xml:space="preserve">Bruckners Wunsch, die Vertragsbeziehungen zu lösen, </w:t>
      </w:r>
      <w:r w:rsidR="004B57B3">
        <w:t>findet keine Erwähnung</w:t>
      </w:r>
      <w:r w:rsidR="00BA27F4">
        <w:t xml:space="preserve">. </w:t>
      </w:r>
      <w:r w:rsidR="004B57B3">
        <w:t>Die</w:t>
      </w:r>
      <w:r w:rsidR="00BA27F4">
        <w:t xml:space="preserve"> Formulierungen sind betont vage gehalten</w:t>
      </w:r>
      <w:r w:rsidR="004B57B3">
        <w:t>, sie suggeri</w:t>
      </w:r>
      <w:r w:rsidR="004B57B3">
        <w:t>e</w:t>
      </w:r>
      <w:r w:rsidR="004B57B3">
        <w:t>ren eine gemeinsame „Front“</w:t>
      </w:r>
      <w:r>
        <w:t xml:space="preserve">: </w:t>
      </w:r>
    </w:p>
    <w:p w:rsidR="004B57B3" w:rsidRDefault="00BD5A7A" w:rsidP="000070F9">
      <w:pPr>
        <w:spacing w:after="0"/>
        <w:ind w:left="1134"/>
        <w:jc w:val="both"/>
      </w:pPr>
      <w:r>
        <w:t>„Ihr Weg ist für Sie der Richtige, der von uns gewählte für uns. Beide zusammen erst ergeben eine wirksame Front.“</w:t>
      </w:r>
      <w:r w:rsidR="00FE5B2A">
        <w:t xml:space="preserve"> </w:t>
      </w:r>
    </w:p>
    <w:p w:rsidR="00FE5B2A" w:rsidRDefault="004B57B3" w:rsidP="000070F9">
      <w:pPr>
        <w:spacing w:after="0"/>
        <w:jc w:val="both"/>
      </w:pPr>
      <w:r>
        <w:t>Die Bemerkungen, mit denen</w:t>
      </w:r>
      <w:r w:rsidR="00BA27F4">
        <w:t xml:space="preserve"> </w:t>
      </w:r>
      <w:proofErr w:type="spellStart"/>
      <w:r w:rsidR="00BD5A7A">
        <w:t>Bermann</w:t>
      </w:r>
      <w:proofErr w:type="spellEnd"/>
      <w:r w:rsidR="00BD5A7A">
        <w:t xml:space="preserve"> Fischer</w:t>
      </w:r>
      <w:r>
        <w:t xml:space="preserve"> die emigrierten Schriftsteller</w:t>
      </w:r>
      <w:r w:rsidR="00BD5A7A">
        <w:t xml:space="preserve"> </w:t>
      </w:r>
      <w:r w:rsidR="00BA27F4">
        <w:t>und die neu en</w:t>
      </w:r>
      <w:r w:rsidR="00BA27F4">
        <w:t>t</w:t>
      </w:r>
      <w:r w:rsidR="00BA27F4">
        <w:t>standene Exilliteratur</w:t>
      </w:r>
      <w:r>
        <w:t xml:space="preserve"> bedenk</w:t>
      </w:r>
      <w:r w:rsidR="00BA27F4">
        <w:t xml:space="preserve">t, </w:t>
      </w:r>
      <w:r>
        <w:t>sind</w:t>
      </w:r>
      <w:r w:rsidR="00BA27F4">
        <w:t xml:space="preserve"> </w:t>
      </w:r>
      <w:r w:rsidR="00AD110B">
        <w:t xml:space="preserve">jedoch </w:t>
      </w:r>
      <w:r>
        <w:t xml:space="preserve">merklich </w:t>
      </w:r>
      <w:r w:rsidR="00BD5A7A">
        <w:t>schärfer</w:t>
      </w:r>
      <w:r>
        <w:t xml:space="preserve"> als bislang schon</w:t>
      </w:r>
      <w:r w:rsidR="00AD110B">
        <w:t>. Offensichtlich ist er der Überzeugung, dass Bruckner unter dem Einfluss von Feuchtwanger, Heinrich Mann oder Kerr stehe</w:t>
      </w:r>
      <w:r w:rsidR="00BD5A7A">
        <w:t>:</w:t>
      </w:r>
    </w:p>
    <w:p w:rsidR="00BD5A7A" w:rsidRDefault="00BD5A7A" w:rsidP="000070F9">
      <w:pPr>
        <w:spacing w:after="0"/>
        <w:ind w:left="1134"/>
        <w:jc w:val="both"/>
      </w:pPr>
      <w:r>
        <w:t xml:space="preserve">„Glauben Sie zum </w:t>
      </w:r>
      <w:r w:rsidR="00BA27F4">
        <w:t>B</w:t>
      </w:r>
      <w:r>
        <w:t xml:space="preserve">eispiel, </w:t>
      </w:r>
      <w:proofErr w:type="spellStart"/>
      <w:r>
        <w:t>daß</w:t>
      </w:r>
      <w:proofErr w:type="spellEnd"/>
      <w:r>
        <w:t xml:space="preserve"> die Aufsätze von Heinrich Mann oder Kerr oder der letzte Roman von Feuchtwanger ‚Die Familie Oppenheim‘ gegen die Barbarei in Deutschland etwas ausrichten? Dieses Buch von Feuchtwanger, das eine Sorte von deutschen Juden als Typus hinstellt, der fast n</w:t>
      </w:r>
      <w:r w:rsidR="00BA27F4">
        <w:t>o</w:t>
      </w:r>
      <w:r>
        <w:t>ch im Ghetto steckt, ohne a</w:t>
      </w:r>
      <w:r>
        <w:t>l</w:t>
      </w:r>
      <w:r>
        <w:t>lerdings die tiefere religiöse Bildung noch zu besitzen, ist geradezu ein Bewei</w:t>
      </w:r>
      <w:r>
        <w:t>s</w:t>
      </w:r>
      <w:r>
        <w:t xml:space="preserve">mittel für den deutschen Antisemitismus und es sollte mich nicht wundern, wenn der Völkische Beobachter Sätze aus diesem Buch in diesem Sinne zitiert. Kerrs Entgleisungen desavouieren ihn sogar bei seinen Freunden aufs schwerste, und Heinrich Manns schmähliche und völlig aus der Luft gegriffene Verleumdung seines Freundes </w:t>
      </w:r>
      <w:proofErr w:type="spellStart"/>
      <w:r>
        <w:t>Sinsheimer</w:t>
      </w:r>
      <w:proofErr w:type="spellEnd"/>
      <w:r>
        <w:t xml:space="preserve"> zerstört das Bild dieses Mannes, an den wir glaubten. […] Und das Pariser Tageblatt von Georg Bernhard und wie diese Blätter alle heißen? Alles das unterscheidet sich im Grunde nicht von der Konjunkturliteratur und Presse der Nazis und wird genau das gleiche, kurze Leben haben, wie diese.“</w:t>
      </w:r>
    </w:p>
    <w:p w:rsidR="00BD5A7A" w:rsidRDefault="00BD5A7A" w:rsidP="000070F9">
      <w:pPr>
        <w:spacing w:after="0"/>
        <w:jc w:val="both"/>
      </w:pPr>
      <w:r>
        <w:t xml:space="preserve">Ausführlich geht </w:t>
      </w:r>
      <w:proofErr w:type="spellStart"/>
      <w:r>
        <w:t>Bermann</w:t>
      </w:r>
      <w:proofErr w:type="spellEnd"/>
      <w:r>
        <w:t xml:space="preserve"> Fischer </w:t>
      </w:r>
      <w:r w:rsidR="00BA27F4">
        <w:t>dar</w:t>
      </w:r>
      <w:r>
        <w:t xml:space="preserve">auf </w:t>
      </w:r>
      <w:r w:rsidR="00BA27F4">
        <w:t xml:space="preserve">ein, dass er wiederholt </w:t>
      </w:r>
      <w:r>
        <w:t>Überlegung</w:t>
      </w:r>
      <w:r w:rsidR="004B57B3">
        <w:t>en</w:t>
      </w:r>
      <w:r>
        <w:t xml:space="preserve"> </w:t>
      </w:r>
      <w:r w:rsidR="00BA27F4">
        <w:t>angestellt habe</w:t>
      </w:r>
      <w:r>
        <w:t>, den S. Fischer Verlag ins Ausland</w:t>
      </w:r>
      <w:r w:rsidR="00374070">
        <w:t xml:space="preserve"> zu verlegen. </w:t>
      </w:r>
      <w:r w:rsidR="004B57B3">
        <w:t>Sehr deutlich</w:t>
      </w:r>
      <w:r w:rsidR="00374070">
        <w:t xml:space="preserve"> führt er Bruckner vor A</w:t>
      </w:r>
      <w:r w:rsidR="00374070">
        <w:t>u</w:t>
      </w:r>
      <w:r w:rsidR="00374070">
        <w:t xml:space="preserve">gen, dass das auch für </w:t>
      </w:r>
      <w:r w:rsidR="004B57B3">
        <w:t>Bruckner</w:t>
      </w:r>
      <w:r w:rsidR="00374070">
        <w:t xml:space="preserve"> finanziell</w:t>
      </w:r>
      <w:r w:rsidR="00BA27F4">
        <w:t xml:space="preserve"> von</w:t>
      </w:r>
      <w:r w:rsidR="00374070">
        <w:t xml:space="preserve"> Nachteil wäre:</w:t>
      </w:r>
    </w:p>
    <w:p w:rsidR="00374070" w:rsidRDefault="00374070" w:rsidP="000070F9">
      <w:pPr>
        <w:spacing w:after="0"/>
        <w:ind w:left="1134"/>
        <w:jc w:val="both"/>
      </w:pPr>
      <w:r>
        <w:t>„Und nun zu diesem Plan, hundert- und tausendmal von uns durchdacht, den Ve</w:t>
      </w:r>
      <w:r>
        <w:t>r</w:t>
      </w:r>
      <w:r>
        <w:t xml:space="preserve">lag nach dem Ausland zu verlegen. Lieber Herr </w:t>
      </w:r>
      <w:proofErr w:type="spellStart"/>
      <w:r>
        <w:t>Tagger</w:t>
      </w:r>
      <w:proofErr w:type="spellEnd"/>
      <w:r>
        <w:t xml:space="preserve"> [der bürgerliche Name von Bruckner ist </w:t>
      </w:r>
      <w:proofErr w:type="spellStart"/>
      <w:r>
        <w:t>Tagger</w:t>
      </w:r>
      <w:proofErr w:type="spellEnd"/>
      <w:r>
        <w:t>], haben Sie das wirklich mit allen Konsequenzen durc</w:t>
      </w:r>
      <w:r>
        <w:t>h</w:t>
      </w:r>
      <w:r>
        <w:t xml:space="preserve">dacht? […] Besonders, da ich aus den Erfahrungen der letzten Monate weiß, </w:t>
      </w:r>
      <w:proofErr w:type="spellStart"/>
      <w:r>
        <w:t>daß</w:t>
      </w:r>
      <w:proofErr w:type="spellEnd"/>
      <w:r>
        <w:t xml:space="preserve"> der Absatz im deutschsprachigen Ausland im Höchstfall 35 % des Gesamtabsa</w:t>
      </w:r>
      <w:r>
        <w:t>t</w:t>
      </w:r>
      <w:r>
        <w:t>zes, im Durchschnitt aber nur 10 % beträgt.“</w:t>
      </w:r>
    </w:p>
    <w:p w:rsidR="002B7A2C" w:rsidRDefault="002B7A2C" w:rsidP="000070F9">
      <w:pPr>
        <w:spacing w:after="0"/>
        <w:jc w:val="both"/>
      </w:pPr>
      <w:r>
        <w:lastRenderedPageBreak/>
        <w:t>Der Vorwurf</w:t>
      </w:r>
      <w:r w:rsidR="00AD110B">
        <w:t>,</w:t>
      </w:r>
      <w:r>
        <w:t xml:space="preserve"> er führe den S. Fischer Verlag wie eine Seifenfabrik, hat </w:t>
      </w:r>
      <w:proofErr w:type="spellStart"/>
      <w:r>
        <w:t>Bermann</w:t>
      </w:r>
      <w:proofErr w:type="spellEnd"/>
      <w:r>
        <w:t xml:space="preserve"> Fischer </w:t>
      </w:r>
      <w:r w:rsidR="00AD110B">
        <w:t>j</w:t>
      </w:r>
      <w:r w:rsidR="00AD110B">
        <w:t>e</w:t>
      </w:r>
      <w:r w:rsidR="00AD110B">
        <w:t xml:space="preserve">doch </w:t>
      </w:r>
      <w:r>
        <w:t>getroffen</w:t>
      </w:r>
      <w:r w:rsidR="00AE586C">
        <w:t>. Er antwortet mit einer Kritik an Bruckners Figur des Geheimrat Marx</w:t>
      </w:r>
      <w:r>
        <w:t>:</w:t>
      </w:r>
    </w:p>
    <w:p w:rsidR="0070563C" w:rsidRDefault="0070563C" w:rsidP="000070F9">
      <w:pPr>
        <w:spacing w:after="0"/>
        <w:ind w:left="1134"/>
        <w:jc w:val="both"/>
      </w:pPr>
      <w:r>
        <w:t xml:space="preserve">„Aber es </w:t>
      </w:r>
      <w:r>
        <w:rPr>
          <w:i/>
        </w:rPr>
        <w:t>ist</w:t>
      </w:r>
      <w:r>
        <w:t xml:space="preserve"> ein Kampf, diesen Verlag zu erhalte</w:t>
      </w:r>
      <w:r w:rsidR="004B57B3">
        <w:t>n</w:t>
      </w:r>
      <w:r>
        <w:t xml:space="preserve">, so lange es geht. Er ist eben </w:t>
      </w:r>
      <w:r>
        <w:rPr>
          <w:i/>
        </w:rPr>
        <w:t xml:space="preserve">keine </w:t>
      </w:r>
      <w:r>
        <w:t xml:space="preserve">Seifenfabrik, um die hätte es sich nicht gelohnt. Nein – und Ihr Marx [der Geheimrat Marx in </w:t>
      </w:r>
      <w:r>
        <w:rPr>
          <w:i/>
        </w:rPr>
        <w:t>Die Rassen</w:t>
      </w:r>
      <w:r>
        <w:t xml:space="preserve">], lieber Herr </w:t>
      </w:r>
      <w:proofErr w:type="spellStart"/>
      <w:r>
        <w:t>Tagger</w:t>
      </w:r>
      <w:proofErr w:type="spellEnd"/>
      <w:r>
        <w:t>, sind Sie mir nicht böse d</w:t>
      </w:r>
      <w:r>
        <w:t>a</w:t>
      </w:r>
      <w:r>
        <w:t>rum, ist die einzige Figur in dem von mir geliebten und bewunderten Stück, die Sie nicht mit gleicher dichterischer Objektivität und Gerechtigkeit gestaltet haben, wie alle anderen.“</w:t>
      </w:r>
      <w:r w:rsidR="00233AF0">
        <w:rPr>
          <w:rStyle w:val="Funotenzeichen"/>
        </w:rPr>
        <w:footnoteReference w:id="7"/>
      </w:r>
    </w:p>
    <w:p w:rsidR="0070563C" w:rsidRDefault="0070563C" w:rsidP="000070F9">
      <w:pPr>
        <w:spacing w:after="0"/>
        <w:jc w:val="both"/>
      </w:pPr>
      <w:proofErr w:type="spellStart"/>
      <w:r>
        <w:t>Bermann</w:t>
      </w:r>
      <w:proofErr w:type="spellEnd"/>
      <w:r>
        <w:t xml:space="preserve"> Fischer schließt mit den Worten: „Trennen Sie also nicht unsere Verbindung. Es ist geradezu ein Vergehen gegen die Millionen Deutschen, wenn Sie sich vom innerdeutschen Literaturkomplex lösen […].“‘Auf die Tatsache, dass das so hoch gelobte Stück </w:t>
      </w:r>
      <w:r>
        <w:rPr>
          <w:i/>
        </w:rPr>
        <w:t>Die Rassen</w:t>
      </w:r>
      <w:r>
        <w:t xml:space="preserve"> in Deutschland auf keinen Fall aufgeführt werden kann, geht </w:t>
      </w:r>
      <w:proofErr w:type="spellStart"/>
      <w:r>
        <w:t>Bermann</w:t>
      </w:r>
      <w:proofErr w:type="spellEnd"/>
      <w:r>
        <w:t xml:space="preserve"> Fischer nicht ein, ebenso nicht auf den Vorschlag Bruckners, den Verlagsvertrag einvernehmlich zu lösen.</w:t>
      </w:r>
    </w:p>
    <w:p w:rsidR="0070563C" w:rsidRDefault="0070563C" w:rsidP="000070F9">
      <w:pPr>
        <w:spacing w:after="0"/>
        <w:jc w:val="both"/>
      </w:pPr>
    </w:p>
    <w:p w:rsidR="00E83D8F" w:rsidRDefault="00AE586C" w:rsidP="000070F9">
      <w:pPr>
        <w:spacing w:after="0"/>
        <w:jc w:val="both"/>
      </w:pPr>
      <w:r>
        <w:tab/>
        <w:t xml:space="preserve">Bruckner antwortet mit einem Schreiben vom </w:t>
      </w:r>
      <w:r w:rsidR="00E83D8F">
        <w:t>12. Januar 1934</w:t>
      </w:r>
      <w:r>
        <w:t xml:space="preserve">. Es ist nicht an </w:t>
      </w:r>
      <w:proofErr w:type="spellStart"/>
      <w:r>
        <w:t>Be</w:t>
      </w:r>
      <w:r>
        <w:t>r</w:t>
      </w:r>
      <w:r>
        <w:t>mann</w:t>
      </w:r>
      <w:proofErr w:type="spellEnd"/>
      <w:r>
        <w:t xml:space="preserve"> Fischer adressiert, sondern unpersönlich „</w:t>
      </w:r>
      <w:r w:rsidR="00E83D8F">
        <w:t>An den S. Fischer Verlag, Berlin</w:t>
      </w:r>
      <w:r>
        <w:t>“:</w:t>
      </w:r>
    </w:p>
    <w:p w:rsidR="00E83D8F" w:rsidRDefault="00E83D8F" w:rsidP="000070F9">
      <w:pPr>
        <w:spacing w:after="0"/>
        <w:jc w:val="both"/>
      </w:pPr>
    </w:p>
    <w:p w:rsidR="00E83D8F" w:rsidRDefault="00E83D8F" w:rsidP="000070F9">
      <w:pPr>
        <w:spacing w:after="0"/>
        <w:ind w:left="1134"/>
        <w:jc w:val="both"/>
      </w:pPr>
      <w:r>
        <w:t>Sehr geehrte Herren,</w:t>
      </w:r>
    </w:p>
    <w:p w:rsidR="00E83D8F" w:rsidRDefault="00E83D8F" w:rsidP="000070F9">
      <w:pPr>
        <w:spacing w:after="0"/>
        <w:ind w:left="1134"/>
        <w:jc w:val="both"/>
      </w:pPr>
      <w:r>
        <w:t xml:space="preserve">ich bedauere, </w:t>
      </w:r>
      <w:proofErr w:type="spellStart"/>
      <w:r>
        <w:t>daß</w:t>
      </w:r>
      <w:proofErr w:type="spellEnd"/>
      <w:r>
        <w:t xml:space="preserve"> meine fortgesetzten Versuche, mit Rücksicht auf unsre früheren Privatbe</w:t>
      </w:r>
      <w:r w:rsidR="00F06F28">
        <w:t>ziehungen eine Lösung unsrer Verträge auf gütlichem Wege herbeizufü</w:t>
      </w:r>
      <w:r w:rsidR="00F06F28">
        <w:t>h</w:t>
      </w:r>
      <w:r w:rsidR="00F06F28">
        <w:t xml:space="preserve">ren, gescheitert sind. Die beispiellosen Geistes- und Gesinnungswindungen, die Sie mir in Ihren Briefen vorführen, um mir zu beweisen, </w:t>
      </w:r>
      <w:proofErr w:type="spellStart"/>
      <w:r w:rsidR="00F06F28">
        <w:t>daß</w:t>
      </w:r>
      <w:proofErr w:type="spellEnd"/>
      <w:r w:rsidR="00F06F28">
        <w:t xml:space="preserve"> ich Sie nicht verla</w:t>
      </w:r>
      <w:r w:rsidR="00F06F28">
        <w:t>s</w:t>
      </w:r>
      <w:r w:rsidR="00F06F28">
        <w:t>sen dürfe, zwingen mich im Gegenteil, es jetzt umso rascher zu tun und ich sehe mich genötigt, Ihnen Folgendes zu eröffnen:</w:t>
      </w:r>
    </w:p>
    <w:p w:rsidR="00F06F28" w:rsidRDefault="00F06F28" w:rsidP="000070F9">
      <w:pPr>
        <w:spacing w:after="0"/>
        <w:ind w:left="1134"/>
        <w:jc w:val="both"/>
      </w:pPr>
    </w:p>
    <w:p w:rsidR="00F06F28" w:rsidRDefault="00F06F28" w:rsidP="000070F9">
      <w:pPr>
        <w:spacing w:after="0"/>
        <w:ind w:left="1134"/>
        <w:jc w:val="both"/>
      </w:pPr>
      <w:r>
        <w:t>1. Hiermit erkläre ich alle seinerzeit mit Ihrem Bühnenvertri</w:t>
      </w:r>
      <w:r w:rsidR="00DE1715">
        <w:t>e</w:t>
      </w:r>
      <w:bookmarkStart w:id="0" w:name="_GoBack"/>
      <w:bookmarkEnd w:id="0"/>
      <w:r>
        <w:t>b abgeschlossenen Verträge […] für aufgehoben. Ich entziehe Ihnen das Recht, weitere Aufführungs- oder sonstige Verträge abzuschließen. […]</w:t>
      </w:r>
    </w:p>
    <w:p w:rsidR="00F06F28" w:rsidRDefault="00F06F28" w:rsidP="000070F9">
      <w:pPr>
        <w:spacing w:after="0"/>
        <w:ind w:left="1134"/>
        <w:jc w:val="both"/>
      </w:pPr>
      <w:r>
        <w:t>2. Hiermit erkläre ich alle seinerzeit mit Ihrem Buchverlag abgeschlossenen Ve</w:t>
      </w:r>
      <w:r>
        <w:t>r</w:t>
      </w:r>
      <w:r>
        <w:t>träge […] für aufgehoben. Alle Rechte auf diese Werke fallen mit dem heutigen Tage an mich zurück, neue Auflagen dürfen durch Sie nicht mehr hergestellt we</w:t>
      </w:r>
      <w:r>
        <w:t>r</w:t>
      </w:r>
      <w:r>
        <w:t>den. […]</w:t>
      </w:r>
    </w:p>
    <w:p w:rsidR="00F06F28" w:rsidRDefault="00F06F28" w:rsidP="000070F9">
      <w:pPr>
        <w:spacing w:after="0"/>
        <w:ind w:left="1134"/>
        <w:jc w:val="both"/>
      </w:pPr>
      <w:r>
        <w:t>Beide Kündigungen erfolgen mit sofortiger Wirkung aus wichtigem Grund.</w:t>
      </w:r>
    </w:p>
    <w:p w:rsidR="00487ED6" w:rsidRDefault="00487ED6" w:rsidP="000070F9">
      <w:pPr>
        <w:spacing w:after="0"/>
        <w:ind w:left="1134"/>
        <w:jc w:val="both"/>
      </w:pPr>
    </w:p>
    <w:p w:rsidR="00E91159" w:rsidRDefault="00F06F28" w:rsidP="000070F9">
      <w:pPr>
        <w:spacing w:after="0"/>
        <w:ind w:left="1134"/>
        <w:jc w:val="both"/>
      </w:pPr>
      <w:r>
        <w:t>Da für mich nur Aufführungen im Ausland in Frage  kommen, sind Sie auße</w:t>
      </w:r>
      <w:r>
        <w:t>r</w:t>
      </w:r>
      <w:r>
        <w:t xml:space="preserve">stand, den Bühnenvertrieb so durchzuführen, wie ich es beanspruchen darf. </w:t>
      </w:r>
      <w:proofErr w:type="spellStart"/>
      <w:r>
        <w:t>Daß</w:t>
      </w:r>
      <w:proofErr w:type="spellEnd"/>
      <w:r>
        <w:t xml:space="preserve"> Ihre Auslandskontrolle schon früher völlig unzulänglich war, habe ich oben fes</w:t>
      </w:r>
      <w:r>
        <w:t>t</w:t>
      </w:r>
      <w:r>
        <w:t xml:space="preserve">gestellt. Es ist ohne weiteres anzunehmen, </w:t>
      </w:r>
      <w:proofErr w:type="spellStart"/>
      <w:r>
        <w:t>daß</w:t>
      </w:r>
      <w:proofErr w:type="spellEnd"/>
      <w:r>
        <w:t xml:space="preserve"> Sie den ausländischen Apparat bei Ihrem jetzigen Repertoire naturgemäß noch mehr </w:t>
      </w:r>
      <w:r w:rsidR="00BC77B6">
        <w:t xml:space="preserve">verkleinern müssen. Tatsächlich haben Sie seit dem 5. März so gut wie gar keinen </w:t>
      </w:r>
      <w:proofErr w:type="spellStart"/>
      <w:r w:rsidR="00BC77B6">
        <w:t>Abschluß</w:t>
      </w:r>
      <w:proofErr w:type="spellEnd"/>
      <w:r w:rsidR="00BC77B6">
        <w:t xml:space="preserve"> für mich </w:t>
      </w:r>
      <w:proofErr w:type="spellStart"/>
      <w:r w:rsidR="00BC77B6">
        <w:t>zustand</w:t>
      </w:r>
      <w:proofErr w:type="spellEnd"/>
      <w:r w:rsidR="00BC77B6">
        <w:t xml:space="preserve"> g</w:t>
      </w:r>
      <w:r w:rsidR="00BC77B6">
        <w:t>e</w:t>
      </w:r>
      <w:r w:rsidR="00BC77B6">
        <w:lastRenderedPageBreak/>
        <w:t>bracht […]. Ist aber schon Ihre Fähigkeit der Kontrolle gering, so ist heute die e</w:t>
      </w:r>
      <w:r w:rsidR="00BC77B6">
        <w:t>i</w:t>
      </w:r>
      <w:r w:rsidR="00BC77B6">
        <w:t xml:space="preserve">ner Initiative gleich null. Die selbstverständlichste Forderung eines Autors: </w:t>
      </w:r>
      <w:proofErr w:type="spellStart"/>
      <w:r w:rsidR="00BC77B6">
        <w:t>daß</w:t>
      </w:r>
      <w:proofErr w:type="spellEnd"/>
      <w:r w:rsidR="00BC77B6">
        <w:t xml:space="preserve"> sich der </w:t>
      </w:r>
      <w:r w:rsidR="00E91159">
        <w:t xml:space="preserve">Bühnenvertrieb mit stärkster Initiative für seine Stücke einsetzt, können Sie nicht erfüllen, denn Sie </w:t>
      </w:r>
      <w:proofErr w:type="spellStart"/>
      <w:r w:rsidR="00E91159">
        <w:t>müßten</w:t>
      </w:r>
      <w:proofErr w:type="spellEnd"/>
      <w:r w:rsidR="00E91159">
        <w:t xml:space="preserve"> bei mir rühmend hervorheben, </w:t>
      </w:r>
      <w:proofErr w:type="spellStart"/>
      <w:r w:rsidR="00E91159">
        <w:t>daß</w:t>
      </w:r>
      <w:proofErr w:type="spellEnd"/>
      <w:r w:rsidR="00E91159">
        <w:t xml:space="preserve"> es sich um einen Autor handelt, der dem nationalsozialistischen Deutschland absolut als Gegner gegenübersteht und das nicht verschweigt, um sich den deutschen Markt zu retten. Selbst wenn Sie diese heute mit wichtigste Propaganda, um des guten Geschäftes willen, von Berlin aus versuchen wollten, trotzdem Sie selbst den ne</w:t>
      </w:r>
      <w:r w:rsidR="00E91159">
        <w:t>u</w:t>
      </w:r>
      <w:r w:rsidR="00E91159">
        <w:t>en Staat in Ihren Publikationen deutlich bejaht haben und trotz der Briefzensur: es würde bei der geringen Glaubwürdigkeit, die das Ausland Ihren plötzlich wieder demokratischen Kundgebungen entgegenbrächte, völlig erfolglos sein, ja, sogar auch noch mich in einem fragwürden Licht erscheinen lassen […]. Schließlich habe ich den selbstverständlichen, von Ihnen gleichfalls nicht erfüllbaren  A</w:t>
      </w:r>
      <w:r w:rsidR="00E91159">
        <w:t>n</w:t>
      </w:r>
      <w:r w:rsidR="00E91159">
        <w:t xml:space="preserve">spruch, </w:t>
      </w:r>
      <w:proofErr w:type="spellStart"/>
      <w:r w:rsidR="00E91159">
        <w:t>daß</w:t>
      </w:r>
      <w:proofErr w:type="spellEnd"/>
      <w:r w:rsidR="00E91159">
        <w:t xml:space="preserve"> die Beachtung, die mein neues Stück „Die Rassen“ in der ganzen Welt gefunden hat (von der Sie sich schon wegen der Zeitungsverbote kein Bild machen können) auch meinen früheren Stücken </w:t>
      </w:r>
      <w:proofErr w:type="spellStart"/>
      <w:r w:rsidR="00E91159">
        <w:t>zugute kommt</w:t>
      </w:r>
      <w:proofErr w:type="spellEnd"/>
      <w:r w:rsidR="00E91159">
        <w:t xml:space="preserve"> und ich würde e</w:t>
      </w:r>
      <w:r w:rsidR="00E91159">
        <w:t>i</w:t>
      </w:r>
      <w:r w:rsidR="00E91159">
        <w:t>nen großen Schaden erleiden, wenn ich sie länger bei Ihnen ließe.</w:t>
      </w:r>
    </w:p>
    <w:p w:rsidR="00F06F28" w:rsidRDefault="00E91159" w:rsidP="000070F9">
      <w:pPr>
        <w:spacing w:after="0"/>
        <w:ind w:left="1134"/>
        <w:jc w:val="both"/>
      </w:pPr>
      <w:r>
        <w:t>Aus den gleichen Gründen ist Ihr Buchverlag außerstand, seine verlegerischen Pflichten zu erfüllen. Tatsächlich hüten Sie sich nicht nur davor, sich für meine Bücher einzusetzen: Sie unterdrücken sie sogar, Ihr Katalog bringt nicht einmal mehr die Titel. Wenn Sie das als eine Angelegenheit des „Taktes“ bezeichnen (Brief vom 15. Dez.), so sind Sie einerseits zu bescheiden, denn dem Nationals</w:t>
      </w:r>
      <w:r>
        <w:t>o</w:t>
      </w:r>
      <w:r>
        <w:t>zialismus gegenüber entfalten Sie weit mehr als Takt; andererseits aber kann ich nicht verpflichtet werden, einem Verlag anzugehören, der es als taktlos ablehnt, meine Bücher zu nennen.</w:t>
      </w:r>
    </w:p>
    <w:p w:rsidR="00E91159" w:rsidRDefault="00E91159" w:rsidP="000070F9">
      <w:pPr>
        <w:spacing w:after="0"/>
        <w:ind w:left="1134"/>
        <w:jc w:val="both"/>
      </w:pPr>
      <w:r>
        <w:t xml:space="preserve">[…] </w:t>
      </w:r>
      <w:r w:rsidR="00011F17">
        <w:t xml:space="preserve">Als ich die Verträge mit Ihnen </w:t>
      </w:r>
      <w:proofErr w:type="spellStart"/>
      <w:r w:rsidR="00011F17">
        <w:t>schloß</w:t>
      </w:r>
      <w:proofErr w:type="spellEnd"/>
      <w:r w:rsidR="00011F17">
        <w:t>, hatte Ihr Verlag eine einheitliche Richtung, von der Freien Bühne bis zu den noch vor kurzem herausgegebenen drei Revolutionsbänden von Trotzki. Sie waren durchaus liberal, demokratisch und freiheitlich gesinnt, kein deutscher Verlag hat so ausgesprochen jene Geiste</w:t>
      </w:r>
      <w:r w:rsidR="00011F17">
        <w:t>s</w:t>
      </w:r>
      <w:r w:rsidR="00011F17">
        <w:t>richtung vertreten, die von den Nationalsozialisten „Kulturbolschewismus“ g</w:t>
      </w:r>
      <w:r w:rsidR="00011F17">
        <w:t>e</w:t>
      </w:r>
      <w:r w:rsidR="00011F17">
        <w:t>nannt wurde und deswegen fühlte ich mich auch bei Ihnen auf dem richtigen Platz. Als aber die Regierungsgewalt von den Nationalsozialisten übernommen wurde, haben Sie wahrhaft schlagartig Ihre Haltung geändert. In unzähligen Au</w:t>
      </w:r>
      <w:r w:rsidR="00011F17">
        <w:t>f</w:t>
      </w:r>
      <w:r w:rsidR="00011F17">
        <w:t>sätzen Ihrer Zeitschrift, der „Neuen Rundschau“, feiern Sie den völligen Zusa</w:t>
      </w:r>
      <w:r w:rsidR="00011F17">
        <w:t>m</w:t>
      </w:r>
      <w:r w:rsidR="00011F17">
        <w:t>menbruch der oben geschilderten, Ihrer eigenen Haltung, als „Erneuerung Deutschlands“, der Herausgeber Suhrkamp besingt in drei großen Aufsätzen den „März 33“, „Es werde Deutschland“ und weist den Rassenzuchtbegriff des Pfe</w:t>
      </w:r>
      <w:r w:rsidR="00011F17">
        <w:t>r</w:t>
      </w:r>
      <w:r w:rsidR="00011F17">
        <w:t>des am Menschen nach, Herr Samuel Sänger strahlt im Untergang des Parlame</w:t>
      </w:r>
      <w:r w:rsidR="00011F17">
        <w:t>n</w:t>
      </w:r>
      <w:r w:rsidR="00011F17">
        <w:t>tarismus. Kein Heft, das nicht zu den Vorgängen in positivster Weise Stelllung nimmt, und wenn einmal ein „sehnsüchtiger“ Blick auf die „früheren Zeiten“ fällt, was dem Suhrkamp gerade noch bei Reinhardt gelingt, wirkt dieses Theater der „Treue“ nur noch widerwärtiger. In neuen Büchern jubeln Sie, bisher Pazifist, „Sieg-He</w:t>
      </w:r>
      <w:r w:rsidR="004B57B3">
        <w:t>i</w:t>
      </w:r>
      <w:r w:rsidR="00011F17">
        <w:t xml:space="preserve">l!“, als Jude </w:t>
      </w:r>
      <w:proofErr w:type="spellStart"/>
      <w:r w:rsidR="00011F17">
        <w:t>bewidmen</w:t>
      </w:r>
      <w:proofErr w:type="spellEnd"/>
      <w:r w:rsidR="00011F17">
        <w:t xml:space="preserve"> Sie Herrn Minister Göring, diesen </w:t>
      </w:r>
      <w:proofErr w:type="spellStart"/>
      <w:r w:rsidR="00011F17">
        <w:t>gewiß</w:t>
      </w:r>
      <w:proofErr w:type="spellEnd"/>
      <w:r w:rsidR="00011F17">
        <w:t xml:space="preserve"> stü</w:t>
      </w:r>
      <w:r w:rsidR="00011F17">
        <w:t>r</w:t>
      </w:r>
      <w:r w:rsidR="00011F17">
        <w:t xml:space="preserve">mischsten aller Antisemiten, und mit unbedingt staunenswerter Verleugnung Ihrer früheren Ansprüche reißen Sie eine Unzahl von nazifreundlichen </w:t>
      </w:r>
      <w:proofErr w:type="spellStart"/>
      <w:r w:rsidR="00011F17">
        <w:t>Mittelmäßigke</w:t>
      </w:r>
      <w:r w:rsidR="00011F17">
        <w:t>i</w:t>
      </w:r>
      <w:r w:rsidR="00011F17">
        <w:lastRenderedPageBreak/>
        <w:t>ten</w:t>
      </w:r>
      <w:proofErr w:type="spellEnd"/>
      <w:r w:rsidR="00011F17">
        <w:t xml:space="preserve"> an sich, um die Sie sich früher nie gekümmert haben. Der begabteste unter ihnen, Billinger, seit zehn Jahren allgemein bekannt, wird von Ihnen erst geholt, nachdem er bereits der Liebling des „Völkischen Beobachters“ geworden war. […] Es blieb nicht bei </w:t>
      </w:r>
      <w:proofErr w:type="spellStart"/>
      <w:r w:rsidR="00011F17">
        <w:t>Billinger</w:t>
      </w:r>
      <w:proofErr w:type="spellEnd"/>
      <w:r w:rsidR="00011F17">
        <w:t xml:space="preserve">: Binding, Rehberg, </w:t>
      </w:r>
      <w:proofErr w:type="spellStart"/>
      <w:r w:rsidR="00011F17">
        <w:t>Penzoldt</w:t>
      </w:r>
      <w:proofErr w:type="spellEnd"/>
      <w:r w:rsidR="00011F17">
        <w:t>, eine ganze Sturma</w:t>
      </w:r>
      <w:r w:rsidR="00011F17">
        <w:t>b</w:t>
      </w:r>
      <w:r w:rsidR="00011F17">
        <w:t xml:space="preserve">teilung des </w:t>
      </w:r>
      <w:proofErr w:type="spellStart"/>
      <w:r w:rsidR="00011F17">
        <w:t>Pg</w:t>
      </w:r>
      <w:proofErr w:type="spellEnd"/>
      <w:r w:rsidR="00011F17">
        <w:t>-Albert-Langenverlags wurde von Ihnen aufgekauft.</w:t>
      </w:r>
      <w:r w:rsidR="00CC6924">
        <w:t xml:space="preserve"> Aber es blieb auch nicht bei den neuen Autoren, viele Ihrer eigenen haben stramm Kehrt g</w:t>
      </w:r>
      <w:r w:rsidR="00CC6924">
        <w:t>e</w:t>
      </w:r>
      <w:r w:rsidR="00CC6924">
        <w:t xml:space="preserve">macht, so der </w:t>
      </w:r>
      <w:proofErr w:type="spellStart"/>
      <w:r w:rsidR="00CC6924">
        <w:t>Flake</w:t>
      </w:r>
      <w:proofErr w:type="spellEnd"/>
      <w:r w:rsidR="00CC6924">
        <w:t xml:space="preserve">, bisher „Europäer“, schwört stürmisch einen Hitlereid, dito der „weltfremde“ </w:t>
      </w:r>
      <w:proofErr w:type="spellStart"/>
      <w:r w:rsidR="00CC6924">
        <w:t>Loerke</w:t>
      </w:r>
      <w:proofErr w:type="spellEnd"/>
      <w:r w:rsidR="00CC6924">
        <w:t>, der Hauser, dessen „Der Mensch lernt fliegen“ von ihm und in Ihrem Hause vorgeführt nur ein „Der Mensch lernt kriechen“ bedeutet und, allen voran Herr Dr. Gerhart Hauptmann, der vor allen jeweils regierenden Mini</w:t>
      </w:r>
      <w:r w:rsidR="00CC6924">
        <w:t>s</w:t>
      </w:r>
      <w:r w:rsidR="00CC6924">
        <w:t xml:space="preserve">tern den Becher hebt: „Ich sage ja!“, diese wohl </w:t>
      </w:r>
      <w:proofErr w:type="spellStart"/>
      <w:r w:rsidR="00CC6924">
        <w:t>vernichtendste</w:t>
      </w:r>
      <w:proofErr w:type="spellEnd"/>
      <w:r w:rsidR="00CC6924">
        <w:t xml:space="preserve"> Enthüllung des schöpferischen Menschen. Hier zumindest hätten Sie, ohne die geringste Gefahr für Sie, einen S</w:t>
      </w:r>
      <w:r w:rsidR="00904AF6">
        <w:t>ch</w:t>
      </w:r>
      <w:r w:rsidR="00CC6924">
        <w:t xml:space="preserve">immer von Haltung zeigen können. Als er seinen Juden, die er ein ganzes Leben lang für sich kämpfen ließ, Ihnen, Kerr, Reinhardt (dem toten </w:t>
      </w:r>
      <w:proofErr w:type="spellStart"/>
      <w:r w:rsidR="00CC6924">
        <w:t>Brahm</w:t>
      </w:r>
      <w:proofErr w:type="spellEnd"/>
      <w:r w:rsidR="00CC6924">
        <w:t xml:space="preserve"> blieb es erspart) jetzt, gleichfalls schlagartig den Rücken zeigte, hätten Sie, statt immer weiter hinter diesem herzulaufen, endlich erbrechen müssen. Das, Herr Fischer, wäre endlich eine von den menschlichen Reaktionen gewesen, auf die die ganze Welt vergeblich aus Deutschland gewartet hat.</w:t>
      </w:r>
    </w:p>
    <w:p w:rsidR="00CC6924" w:rsidRDefault="00CC6924" w:rsidP="000070F9">
      <w:pPr>
        <w:spacing w:after="0"/>
        <w:ind w:left="1134"/>
        <w:jc w:val="both"/>
      </w:pPr>
      <w:r>
        <w:t xml:space="preserve">Ich lehne es ab, mit diesen Autoren weiter an einem Tisch zu sitzen […]. </w:t>
      </w:r>
      <w:proofErr w:type="spellStart"/>
      <w:r>
        <w:t>Daß</w:t>
      </w:r>
      <w:proofErr w:type="spellEnd"/>
      <w:r>
        <w:t xml:space="preserve"> Sie trotzdem versuchen, mir die Lösung unmöglich zu machen, statt sie, was eigen</w:t>
      </w:r>
      <w:r>
        <w:t>t</w:t>
      </w:r>
      <w:r>
        <w:t>lich nach diesem Bekenntnis [zu den Idealen der Freiheit und der Menschenrec</w:t>
      </w:r>
      <w:r>
        <w:t>h</w:t>
      </w:r>
      <w:r>
        <w:t xml:space="preserve">te] Ihre Pflicht wäre, geradezu zu begrüßen, ist so verdächtig, </w:t>
      </w:r>
      <w:proofErr w:type="spellStart"/>
      <w:r>
        <w:t>daß</w:t>
      </w:r>
      <w:proofErr w:type="spellEnd"/>
      <w:r>
        <w:t xml:space="preserve"> nach den Mot</w:t>
      </w:r>
      <w:r>
        <w:t>i</w:t>
      </w:r>
      <w:r>
        <w:t xml:space="preserve">ven gesucht werden </w:t>
      </w:r>
      <w:proofErr w:type="spellStart"/>
      <w:r>
        <w:t>muß</w:t>
      </w:r>
      <w:proofErr w:type="spellEnd"/>
      <w:r>
        <w:t>. Ich finde sie nunmehr in Ihren Briefen, die ein besch</w:t>
      </w:r>
      <w:r>
        <w:t>ä</w:t>
      </w:r>
      <w:r>
        <w:t>mendes Doppel</w:t>
      </w:r>
      <w:r w:rsidR="002C56DD">
        <w:t>spiel enthüllen. Hier allerdings nennen Sie Herrn Heinrich Hauser „ein Schwein“ (Brief vom 4. Jan.), um ihm gleichzeitig in Ihrem Katalog eine halbe Seite für sein kriegsfrohes Fliegerbuch zu widmen</w:t>
      </w:r>
      <w:r w:rsidR="00487ED6">
        <w:t>. Hier sprechen Sie mich als Bundesgenossen an, dessen Büchertitel sie gleichzeitig im Katalog unterschl</w:t>
      </w:r>
      <w:r w:rsidR="00487ED6">
        <w:t>a</w:t>
      </w:r>
      <w:r w:rsidR="00487ED6">
        <w:t xml:space="preserve">gen. Und stolz glauben Sie ausrufen zu dürfen, </w:t>
      </w:r>
      <w:proofErr w:type="spellStart"/>
      <w:r w:rsidR="00487ED6">
        <w:t>daß</w:t>
      </w:r>
      <w:proofErr w:type="spellEnd"/>
      <w:r w:rsidR="00487ED6">
        <w:t xml:space="preserve"> die Haltung des Verlages „nach wie vor klar und eindeutig“ ist. (Brief vom 15. Dez.) Welche von den be</w:t>
      </w:r>
      <w:r w:rsidR="00487ED6">
        <w:t>i</w:t>
      </w:r>
      <w:r w:rsidR="00487ED6">
        <w:t>den Haltungen meinen Sie, die vor oder die seit Hitler? […] Da Ihnen meine A</w:t>
      </w:r>
      <w:r w:rsidR="00487ED6">
        <w:t>r</w:t>
      </w:r>
      <w:r w:rsidR="00487ED6">
        <w:t>beiten zur Zeit nichts einbringen und Sie auf das Prestige, ihr Verleger zu sein, nicht den geringsten Wert legen, ja, ein solches Prestige sogar als taktlos empfä</w:t>
      </w:r>
      <w:r w:rsidR="00487ED6">
        <w:t>n</w:t>
      </w:r>
      <w:r w:rsidR="00487ED6">
        <w:t>den, entspringt Ihr hartnäckiger Versuch, mich trotzdem in Ihrem Verlag zu beha</w:t>
      </w:r>
      <w:r w:rsidR="00487ED6">
        <w:t>l</w:t>
      </w:r>
      <w:r w:rsidR="00487ED6">
        <w:t xml:space="preserve">ten, lediglich der Spekulation auf eine Konjunktur, die sich bei einem etwaigen Sturz der Nationalsozialistischen Regierung allerdings für meine Werke ergeben könnte. Sie glauben, ich werde mich in dem Gesinnungssumpf, zu dem Sie den S. Fischer Verlag in wenig Monaten gemacht haben, still hinterm Strauch versteckt halten lassen, damit Sie mich jederzeit bei der Hand haben. Es bleibt mir nur noch übrig, Ihnen meine feste Überzeugung auszudrücken, </w:t>
      </w:r>
      <w:proofErr w:type="spellStart"/>
      <w:r w:rsidR="00487ED6">
        <w:t>daß</w:t>
      </w:r>
      <w:proofErr w:type="spellEnd"/>
      <w:r w:rsidR="00487ED6">
        <w:t xml:space="preserve"> keine deutsche Behö</w:t>
      </w:r>
      <w:r w:rsidR="00487ED6">
        <w:t>r</w:t>
      </w:r>
      <w:r w:rsidR="00487ED6">
        <w:t>de, so wenig Sympathie sie mir sonst entgegenbringen mag, Ihnen Handlange</w:t>
      </w:r>
      <w:r w:rsidR="00487ED6">
        <w:t>r</w:t>
      </w:r>
      <w:r w:rsidR="00487ED6">
        <w:t xml:space="preserve">dienste zu einem solchen </w:t>
      </w:r>
      <w:proofErr w:type="spellStart"/>
      <w:r w:rsidR="00487ED6">
        <w:t>Mißbrauch</w:t>
      </w:r>
      <w:proofErr w:type="spellEnd"/>
      <w:r w:rsidR="00487ED6">
        <w:t xml:space="preserve"> der Verträge leisten wird, die unter ganz a</w:t>
      </w:r>
      <w:r w:rsidR="00487ED6">
        <w:t>n</w:t>
      </w:r>
      <w:r w:rsidR="00487ED6">
        <w:t>dern Voraussetzungen abgeschlossen wurden und die ich ab heute nicht mehr a</w:t>
      </w:r>
      <w:r w:rsidR="00487ED6">
        <w:t>n</w:t>
      </w:r>
      <w:r w:rsidR="00487ED6">
        <w:t>erkenne.</w:t>
      </w:r>
    </w:p>
    <w:p w:rsidR="00487ED6" w:rsidRDefault="00487ED6" w:rsidP="000070F9">
      <w:pPr>
        <w:spacing w:after="0"/>
        <w:ind w:left="1134"/>
        <w:jc w:val="both"/>
      </w:pPr>
    </w:p>
    <w:p w:rsidR="00487ED6" w:rsidRDefault="00487ED6" w:rsidP="000070F9">
      <w:pPr>
        <w:spacing w:after="0"/>
        <w:ind w:left="1134"/>
        <w:jc w:val="both"/>
      </w:pPr>
      <w:r>
        <w:t>Hochachtungsvoll</w:t>
      </w:r>
    </w:p>
    <w:p w:rsidR="00487ED6" w:rsidRDefault="00487ED6" w:rsidP="000070F9">
      <w:pPr>
        <w:spacing w:after="0"/>
        <w:ind w:left="1134"/>
        <w:jc w:val="both"/>
      </w:pPr>
      <w:r>
        <w:lastRenderedPageBreak/>
        <w:t>F. Bruckner</w:t>
      </w:r>
    </w:p>
    <w:p w:rsidR="00F06F28" w:rsidRDefault="00F06F28" w:rsidP="000070F9">
      <w:pPr>
        <w:spacing w:after="0"/>
        <w:jc w:val="both"/>
      </w:pPr>
    </w:p>
    <w:p w:rsidR="00954908" w:rsidRDefault="00AE586C" w:rsidP="000070F9">
      <w:pPr>
        <w:spacing w:after="0"/>
        <w:jc w:val="both"/>
      </w:pPr>
      <w:r>
        <w:t>Der Brief bedarf keiner Kommentierung.</w:t>
      </w:r>
    </w:p>
    <w:p w:rsidR="00AE586C" w:rsidRDefault="00AE586C" w:rsidP="000070F9">
      <w:pPr>
        <w:spacing w:after="0"/>
        <w:ind w:firstLine="708"/>
        <w:jc w:val="both"/>
      </w:pPr>
      <w:r>
        <w:t xml:space="preserve">Gottfried </w:t>
      </w:r>
      <w:proofErr w:type="spellStart"/>
      <w:r>
        <w:t>Bermann</w:t>
      </w:r>
      <w:proofErr w:type="spellEnd"/>
      <w:r>
        <w:t xml:space="preserve"> Fischer geht in seinen Erinnerungen</w:t>
      </w:r>
      <w:r>
        <w:rPr>
          <w:rStyle w:val="Funotenzeichen"/>
        </w:rPr>
        <w:footnoteReference w:id="8"/>
      </w:r>
      <w:r w:rsidR="00954908">
        <w:t xml:space="preserve"> auf die Trennung Bruckners vom S. Fischer Verlag nicht ein. Er erwähnt allerdings ausführlich, wie er 1928 </w:t>
      </w:r>
      <w:proofErr w:type="spellStart"/>
      <w:r w:rsidR="00954908">
        <w:t>Ta</w:t>
      </w:r>
      <w:r w:rsidR="00954908">
        <w:t>g</w:t>
      </w:r>
      <w:r w:rsidR="00954908">
        <w:t>ger</w:t>
      </w:r>
      <w:proofErr w:type="spellEnd"/>
      <w:r w:rsidR="00954908">
        <w:t>/Bruckner kennen lernte. Er erspart sich dabei allerdings nicht die abschließende Beme</w:t>
      </w:r>
      <w:r w:rsidR="00954908">
        <w:t>r</w:t>
      </w:r>
      <w:r w:rsidR="00954908">
        <w:t>kung, dass Bruckner das Vermögen, das er durch seine Stücke gewonnen habe, später „durch Börsenspekulationen“ wieder verloren habe. „</w:t>
      </w:r>
      <w:proofErr w:type="spellStart"/>
      <w:r w:rsidR="00954908">
        <w:t>Hélas</w:t>
      </w:r>
      <w:proofErr w:type="spellEnd"/>
      <w:r w:rsidR="00954908">
        <w:t>!“ – Auch das ist eine Form, einen übe</w:t>
      </w:r>
      <w:r w:rsidR="00954908">
        <w:t>r</w:t>
      </w:r>
      <w:r w:rsidR="00954908">
        <w:t>aus kompromittierenden Sachverhalt so abzuschließen, dass die eigene Position in vorteilha</w:t>
      </w:r>
      <w:r w:rsidR="00954908">
        <w:t>f</w:t>
      </w:r>
      <w:r w:rsidR="00954908">
        <w:t>tem Licht erscheint.</w:t>
      </w:r>
    </w:p>
    <w:sectPr w:rsidR="00AE586C" w:rsidSect="005A059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3D" w:rsidRDefault="00A0173D" w:rsidP="000B5E14">
      <w:pPr>
        <w:spacing w:after="0" w:line="240" w:lineRule="auto"/>
      </w:pPr>
      <w:r>
        <w:separator/>
      </w:r>
    </w:p>
  </w:endnote>
  <w:endnote w:type="continuationSeparator" w:id="0">
    <w:p w:rsidR="00A0173D" w:rsidRDefault="00A0173D" w:rsidP="000B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3D" w:rsidRDefault="00A0173D" w:rsidP="000B5E14">
      <w:pPr>
        <w:spacing w:after="0" w:line="240" w:lineRule="auto"/>
      </w:pPr>
      <w:r>
        <w:separator/>
      </w:r>
    </w:p>
  </w:footnote>
  <w:footnote w:type="continuationSeparator" w:id="0">
    <w:p w:rsidR="00A0173D" w:rsidRDefault="00A0173D" w:rsidP="000B5E14">
      <w:pPr>
        <w:spacing w:after="0" w:line="240" w:lineRule="auto"/>
      </w:pPr>
      <w:r>
        <w:continuationSeparator/>
      </w:r>
    </w:p>
  </w:footnote>
  <w:footnote w:id="1">
    <w:p w:rsidR="004B57B3" w:rsidRPr="00DA64FD" w:rsidRDefault="004B57B3" w:rsidP="00B34186">
      <w:pPr>
        <w:pStyle w:val="Funotentext"/>
      </w:pPr>
      <w:r>
        <w:rPr>
          <w:rStyle w:val="Funotenzeichen"/>
        </w:rPr>
        <w:footnoteRef/>
      </w:r>
      <w:r>
        <w:t xml:space="preserve"> Der Brief ist abgedruckt in: </w:t>
      </w:r>
      <w:r>
        <w:rPr>
          <w:i/>
        </w:rPr>
        <w:t xml:space="preserve">alternative </w:t>
      </w:r>
      <w:r>
        <w:t>52</w:t>
      </w:r>
      <w:r>
        <w:rPr>
          <w:i/>
        </w:rPr>
        <w:t>.</w:t>
      </w:r>
      <w:r>
        <w:t>Zeitschrift für Literatur und Diskussion. Februar 1967, S. 11-14.</w:t>
      </w:r>
    </w:p>
  </w:footnote>
  <w:footnote w:id="2">
    <w:p w:rsidR="00A41BA9" w:rsidRPr="00A41BA9" w:rsidRDefault="00A41BA9">
      <w:pPr>
        <w:pStyle w:val="Funotentext"/>
      </w:pPr>
      <w:r>
        <w:rPr>
          <w:rStyle w:val="Funotenzeichen"/>
        </w:rPr>
        <w:footnoteRef/>
      </w:r>
      <w:r>
        <w:t xml:space="preserve"> Der Erfolg der Uraufführung von </w:t>
      </w:r>
      <w:r>
        <w:rPr>
          <w:i/>
        </w:rPr>
        <w:t>Die Rassen</w:t>
      </w:r>
      <w:r>
        <w:t xml:space="preserve"> ist für Bruckner vermutlich ein entscheidender Grund, die Tre</w:t>
      </w:r>
      <w:r>
        <w:t>n</w:t>
      </w:r>
      <w:r>
        <w:t xml:space="preserve">nung vom S. Fischer Verlag zu forcieren. Mangels anderer Einkünfte ist Bruckner von den Tantiemen, die er für </w:t>
      </w:r>
      <w:r w:rsidR="00D913B4">
        <w:rPr>
          <w:i/>
        </w:rPr>
        <w:t>Die Rassen</w:t>
      </w:r>
      <w:r>
        <w:t xml:space="preserve"> erhält, </w:t>
      </w:r>
      <w:r w:rsidR="00D913B4">
        <w:t>abhängig.</w:t>
      </w:r>
      <w:r>
        <w:t xml:space="preserve"> </w:t>
      </w:r>
    </w:p>
  </w:footnote>
  <w:footnote w:id="3">
    <w:p w:rsidR="004B57B3" w:rsidRDefault="004B57B3" w:rsidP="00981167">
      <w:pPr>
        <w:pStyle w:val="Funotentext"/>
      </w:pPr>
      <w:r>
        <w:rPr>
          <w:rStyle w:val="Funotenzeichen"/>
        </w:rPr>
        <w:footnoteRef/>
      </w:r>
      <w:r>
        <w:t xml:space="preserve"> Ebd., S. 7 f.</w:t>
      </w:r>
    </w:p>
  </w:footnote>
  <w:footnote w:id="4">
    <w:p w:rsidR="004B57B3" w:rsidRDefault="004B57B3">
      <w:pPr>
        <w:pStyle w:val="Funotentext"/>
      </w:pPr>
      <w:r>
        <w:rPr>
          <w:rStyle w:val="Funotenzeichen"/>
        </w:rPr>
        <w:footnoteRef/>
      </w:r>
      <w:r>
        <w:t xml:space="preserve"> Hier ist offensichtlich der „Reichsverband Deutscher Schriftsteller“ gemeint, der am 9. Juni 1933 gegründet worden war.</w:t>
      </w:r>
    </w:p>
  </w:footnote>
  <w:footnote w:id="5">
    <w:p w:rsidR="004B57B3" w:rsidRPr="00FE5B2A" w:rsidRDefault="004B57B3">
      <w:pPr>
        <w:pStyle w:val="Funotentext"/>
      </w:pPr>
      <w:r>
        <w:rPr>
          <w:rStyle w:val="Funotenzeichen"/>
        </w:rPr>
        <w:footnoteRef/>
      </w:r>
      <w:r>
        <w:t xml:space="preserve"> Ebd., S. 8. – Die Anspielung auf die „Siegheil Fliegerei“ bezieht sich auf Heinrich Hausers im S. Fischer Ve</w:t>
      </w:r>
      <w:r>
        <w:t>r</w:t>
      </w:r>
      <w:r>
        <w:t xml:space="preserve">lag erschienenes Buch </w:t>
      </w:r>
      <w:r w:rsidRPr="00BA449B">
        <w:rPr>
          <w:i/>
        </w:rPr>
        <w:t>Ein Mann lernt</w:t>
      </w:r>
      <w:r>
        <w:rPr>
          <w:i/>
        </w:rPr>
        <w:t xml:space="preserve"> fliegen</w:t>
      </w:r>
      <w:r>
        <w:t>, das zudem mit einer Widmung an Hermann Göring eingeleitet wurde.</w:t>
      </w:r>
    </w:p>
  </w:footnote>
  <w:footnote w:id="6">
    <w:p w:rsidR="004B57B3" w:rsidRDefault="004B57B3">
      <w:pPr>
        <w:pStyle w:val="Funotentext"/>
      </w:pPr>
      <w:r>
        <w:rPr>
          <w:rStyle w:val="Funotenzeichen"/>
        </w:rPr>
        <w:footnoteRef/>
      </w:r>
      <w:r>
        <w:t xml:space="preserve"> Ebd., S. 9.</w:t>
      </w:r>
    </w:p>
  </w:footnote>
  <w:footnote w:id="7">
    <w:p w:rsidR="00233AF0" w:rsidRPr="00233AF0" w:rsidRDefault="00233AF0" w:rsidP="00233AF0">
      <w:pPr>
        <w:pStyle w:val="Funotentext"/>
      </w:pPr>
      <w:r>
        <w:rPr>
          <w:rStyle w:val="Funotenzeichen"/>
        </w:rPr>
        <w:footnoteRef/>
      </w:r>
      <w:r>
        <w:t xml:space="preserve"> In Bruckners Drama </w:t>
      </w:r>
      <w:r>
        <w:rPr>
          <w:i/>
        </w:rPr>
        <w:t>Die Rassen</w:t>
      </w:r>
      <w:r>
        <w:t xml:space="preserve"> protestiert Helenes Vater, der Geheimrat Marx, mit Briefen an seine ausländ</w:t>
      </w:r>
      <w:r>
        <w:t>i</w:t>
      </w:r>
      <w:r>
        <w:t>schen Geschäftspartner gegen die „</w:t>
      </w:r>
      <w:proofErr w:type="spellStart"/>
      <w:r>
        <w:t>Greuelpropaganda</w:t>
      </w:r>
      <w:proofErr w:type="spellEnd"/>
      <w:r>
        <w:t xml:space="preserve">“ des Auslands gegen die antisemitischen Maßnahmen des NS-Regimes. – Zu den entsprechenden Erklärungen jüdischer Organisationen vgl. </w:t>
      </w:r>
      <w:proofErr w:type="spellStart"/>
      <w:r w:rsidRPr="00233AF0">
        <w:t>Avraham</w:t>
      </w:r>
      <w:proofErr w:type="spellEnd"/>
      <w:r w:rsidRPr="00233AF0">
        <w:t xml:space="preserve"> </w:t>
      </w:r>
      <w:proofErr w:type="spellStart"/>
      <w:r w:rsidRPr="00233AF0">
        <w:t>Barkai</w:t>
      </w:r>
      <w:proofErr w:type="spellEnd"/>
      <w:r w:rsidRPr="00233AF0">
        <w:t xml:space="preserve">: </w:t>
      </w:r>
      <w:r w:rsidRPr="00233AF0">
        <w:rPr>
          <w:i/>
        </w:rPr>
        <w:t xml:space="preserve">„Wehr dich!“ </w:t>
      </w:r>
      <w:r w:rsidRPr="00233AF0">
        <w:t xml:space="preserve">Der </w:t>
      </w:r>
      <w:proofErr w:type="spellStart"/>
      <w:r w:rsidRPr="00233AF0">
        <w:t>Centralverein</w:t>
      </w:r>
      <w:proofErr w:type="spellEnd"/>
      <w:r w:rsidRPr="00233AF0">
        <w:t xml:space="preserve"> deutscher Staatsbürger jüdischen Glaubens (C.V.) 1893-1938. München 2002</w:t>
      </w:r>
      <w:r>
        <w:t>, S. 280 f</w:t>
      </w:r>
      <w:r w:rsidRPr="00233AF0">
        <w:t>.</w:t>
      </w:r>
    </w:p>
    <w:p w:rsidR="00233AF0" w:rsidRPr="00233AF0" w:rsidRDefault="00233AF0">
      <w:pPr>
        <w:pStyle w:val="Funotentext"/>
      </w:pPr>
    </w:p>
  </w:footnote>
  <w:footnote w:id="8">
    <w:p w:rsidR="004B57B3" w:rsidRPr="00283FAB" w:rsidRDefault="004B57B3">
      <w:pPr>
        <w:pStyle w:val="Funotentext"/>
      </w:pPr>
      <w:r>
        <w:rPr>
          <w:rStyle w:val="Funotenzeichen"/>
        </w:rPr>
        <w:footnoteRef/>
      </w:r>
      <w:r>
        <w:t xml:space="preserve"> </w:t>
      </w:r>
      <w:r w:rsidR="00283FAB">
        <w:t xml:space="preserve">Gottfried </w:t>
      </w:r>
      <w:proofErr w:type="spellStart"/>
      <w:r w:rsidR="00283FAB">
        <w:t>Bermann</w:t>
      </w:r>
      <w:proofErr w:type="spellEnd"/>
      <w:r w:rsidR="00283FAB">
        <w:t xml:space="preserve"> Fischer: </w:t>
      </w:r>
      <w:r w:rsidR="00283FAB">
        <w:rPr>
          <w:i/>
        </w:rPr>
        <w:t>Bedroht – Bewahrt.</w:t>
      </w:r>
      <w:r w:rsidR="00283FAB">
        <w:t xml:space="preserve"> Der Weg eines Verlegers. Frankfurt a.M. 1967.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876"/>
      <w:docPartObj>
        <w:docPartGallery w:val="Page Numbers (Top of Page)"/>
        <w:docPartUnique/>
      </w:docPartObj>
    </w:sdtPr>
    <w:sdtEndPr/>
    <w:sdtContent>
      <w:p w:rsidR="004B57B3" w:rsidRDefault="00AA58D1">
        <w:pPr>
          <w:pStyle w:val="Kopfzeile"/>
          <w:jc w:val="right"/>
        </w:pPr>
        <w:r>
          <w:fldChar w:fldCharType="begin"/>
        </w:r>
        <w:r>
          <w:instrText xml:space="preserve"> PAGE   \* MERGEFORMAT </w:instrText>
        </w:r>
        <w:r>
          <w:fldChar w:fldCharType="separate"/>
        </w:r>
        <w:r w:rsidR="00DE1715">
          <w:rPr>
            <w:noProof/>
          </w:rPr>
          <w:t>4</w:t>
        </w:r>
        <w:r>
          <w:rPr>
            <w:noProof/>
          </w:rPr>
          <w:fldChar w:fldCharType="end"/>
        </w:r>
      </w:p>
    </w:sdtContent>
  </w:sdt>
  <w:p w:rsidR="004B57B3" w:rsidRDefault="004B57B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C3A9B"/>
    <w:multiLevelType w:val="hybridMultilevel"/>
    <w:tmpl w:val="BAA006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6080"/>
    <w:rsid w:val="000070F9"/>
    <w:rsid w:val="00011F17"/>
    <w:rsid w:val="000128DB"/>
    <w:rsid w:val="00020EA7"/>
    <w:rsid w:val="00032EB9"/>
    <w:rsid w:val="00052786"/>
    <w:rsid w:val="0005480B"/>
    <w:rsid w:val="00056080"/>
    <w:rsid w:val="000B5E14"/>
    <w:rsid w:val="001611D1"/>
    <w:rsid w:val="0017455E"/>
    <w:rsid w:val="001F28F9"/>
    <w:rsid w:val="00222A07"/>
    <w:rsid w:val="002272CC"/>
    <w:rsid w:val="00233AF0"/>
    <w:rsid w:val="00283FAB"/>
    <w:rsid w:val="002B7A2C"/>
    <w:rsid w:val="002C56DD"/>
    <w:rsid w:val="00341B5C"/>
    <w:rsid w:val="00345BD9"/>
    <w:rsid w:val="003526E1"/>
    <w:rsid w:val="00374070"/>
    <w:rsid w:val="003B001A"/>
    <w:rsid w:val="003B45F5"/>
    <w:rsid w:val="003D312B"/>
    <w:rsid w:val="00407BBB"/>
    <w:rsid w:val="00473504"/>
    <w:rsid w:val="00487ED6"/>
    <w:rsid w:val="004B1C3C"/>
    <w:rsid w:val="004B57B3"/>
    <w:rsid w:val="00506B50"/>
    <w:rsid w:val="00515F95"/>
    <w:rsid w:val="0053241A"/>
    <w:rsid w:val="00590C49"/>
    <w:rsid w:val="005A0593"/>
    <w:rsid w:val="005A1FE2"/>
    <w:rsid w:val="005A408B"/>
    <w:rsid w:val="006A3776"/>
    <w:rsid w:val="006E795B"/>
    <w:rsid w:val="0070563C"/>
    <w:rsid w:val="007178DB"/>
    <w:rsid w:val="007967F5"/>
    <w:rsid w:val="007F2F53"/>
    <w:rsid w:val="008069C3"/>
    <w:rsid w:val="00831916"/>
    <w:rsid w:val="00837CB9"/>
    <w:rsid w:val="00876AFE"/>
    <w:rsid w:val="00882F19"/>
    <w:rsid w:val="008B47F4"/>
    <w:rsid w:val="008F0643"/>
    <w:rsid w:val="009020B0"/>
    <w:rsid w:val="00904AF6"/>
    <w:rsid w:val="00905353"/>
    <w:rsid w:val="009059B2"/>
    <w:rsid w:val="00954908"/>
    <w:rsid w:val="00981167"/>
    <w:rsid w:val="009A0052"/>
    <w:rsid w:val="009F4240"/>
    <w:rsid w:val="00A0173D"/>
    <w:rsid w:val="00A330D5"/>
    <w:rsid w:val="00A41BA9"/>
    <w:rsid w:val="00A508F2"/>
    <w:rsid w:val="00AA58D1"/>
    <w:rsid w:val="00AB663D"/>
    <w:rsid w:val="00AD110B"/>
    <w:rsid w:val="00AE427F"/>
    <w:rsid w:val="00AE586C"/>
    <w:rsid w:val="00AF4CD0"/>
    <w:rsid w:val="00B02BC5"/>
    <w:rsid w:val="00B34186"/>
    <w:rsid w:val="00B951C4"/>
    <w:rsid w:val="00B960F7"/>
    <w:rsid w:val="00BA27F4"/>
    <w:rsid w:val="00BA449B"/>
    <w:rsid w:val="00BC77B6"/>
    <w:rsid w:val="00BD5A7A"/>
    <w:rsid w:val="00BE3527"/>
    <w:rsid w:val="00BF668E"/>
    <w:rsid w:val="00C57748"/>
    <w:rsid w:val="00CC6924"/>
    <w:rsid w:val="00CE7A22"/>
    <w:rsid w:val="00D159BF"/>
    <w:rsid w:val="00D834E2"/>
    <w:rsid w:val="00D913B4"/>
    <w:rsid w:val="00DA64FD"/>
    <w:rsid w:val="00DC6660"/>
    <w:rsid w:val="00DE1715"/>
    <w:rsid w:val="00E432ED"/>
    <w:rsid w:val="00E52228"/>
    <w:rsid w:val="00E77016"/>
    <w:rsid w:val="00E83D8F"/>
    <w:rsid w:val="00E91159"/>
    <w:rsid w:val="00F04EA2"/>
    <w:rsid w:val="00F06F28"/>
    <w:rsid w:val="00F51E71"/>
    <w:rsid w:val="00F858C6"/>
    <w:rsid w:val="00FE5B2A"/>
    <w:rsid w:val="00FE6259"/>
    <w:rsid w:val="00FF47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080"/>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6080"/>
    <w:pPr>
      <w:tabs>
        <w:tab w:val="center" w:pos="4536"/>
        <w:tab w:val="right" w:pos="9072"/>
      </w:tabs>
      <w:spacing w:after="0" w:line="240" w:lineRule="auto"/>
    </w:pPr>
    <w:rPr>
      <w:rFonts w:asciiTheme="minorHAnsi" w:hAnsiTheme="minorHAnsi" w:cstheme="minorBidi"/>
      <w:sz w:val="22"/>
      <w:szCs w:val="22"/>
    </w:rPr>
  </w:style>
  <w:style w:type="character" w:customStyle="1" w:styleId="KopfzeileZchn">
    <w:name w:val="Kopfzeile Zchn"/>
    <w:basedOn w:val="Absatz-Standardschriftart"/>
    <w:link w:val="Kopfzeile"/>
    <w:uiPriority w:val="99"/>
    <w:rsid w:val="00056080"/>
  </w:style>
  <w:style w:type="paragraph" w:styleId="Listenabsatz">
    <w:name w:val="List Paragraph"/>
    <w:basedOn w:val="Standard"/>
    <w:uiPriority w:val="34"/>
    <w:qFormat/>
    <w:rsid w:val="00F06F28"/>
    <w:pPr>
      <w:ind w:left="720"/>
      <w:contextualSpacing/>
    </w:pPr>
  </w:style>
  <w:style w:type="paragraph" w:styleId="Funotentext">
    <w:name w:val="footnote text"/>
    <w:basedOn w:val="Standard"/>
    <w:link w:val="FunotentextZchn"/>
    <w:uiPriority w:val="99"/>
    <w:semiHidden/>
    <w:unhideWhenUsed/>
    <w:rsid w:val="00DA64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A64FD"/>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DA64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56A62-AD45-4C29-85C0-1371B958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2631</Words>
  <Characters>16579</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2010-12-08T14:01:00Z</dcterms:created>
  <dcterms:modified xsi:type="dcterms:W3CDTF">2012-08-30T07:01:00Z</dcterms:modified>
</cp:coreProperties>
</file>