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C6" w:rsidRDefault="00235E2F" w:rsidP="008B7447">
      <w:pPr>
        <w:spacing w:after="0"/>
        <w:jc w:val="both"/>
        <w:rPr>
          <w:b/>
        </w:rPr>
      </w:pPr>
      <w:bookmarkStart w:id="0" w:name="_GoBack"/>
      <w:r>
        <w:rPr>
          <w:b/>
        </w:rPr>
        <w:t>(1</w:t>
      </w:r>
      <w:r w:rsidR="008E15AC">
        <w:rPr>
          <w:b/>
        </w:rPr>
        <w:t>9</w:t>
      </w:r>
      <w:r>
        <w:rPr>
          <w:b/>
        </w:rPr>
        <w:t xml:space="preserve">) </w:t>
      </w:r>
      <w:r w:rsidR="0066035F">
        <w:rPr>
          <w:b/>
        </w:rPr>
        <w:t>Positionen V</w:t>
      </w:r>
      <w:r w:rsidR="00206CC6" w:rsidRPr="00206CC6">
        <w:rPr>
          <w:b/>
        </w:rPr>
        <w:t xml:space="preserve">: </w:t>
      </w:r>
      <w:r w:rsidR="00561B9F">
        <w:rPr>
          <w:b/>
        </w:rPr>
        <w:t>Das</w:t>
      </w:r>
      <w:r w:rsidR="00206CC6" w:rsidRPr="00206CC6">
        <w:rPr>
          <w:b/>
        </w:rPr>
        <w:t xml:space="preserve"> </w:t>
      </w:r>
      <w:r w:rsidR="0066035F">
        <w:rPr>
          <w:b/>
        </w:rPr>
        <w:t xml:space="preserve">Pariser </w:t>
      </w:r>
      <w:r w:rsidR="00206CC6" w:rsidRPr="00206CC6">
        <w:rPr>
          <w:b/>
        </w:rPr>
        <w:t>Exil</w:t>
      </w:r>
      <w:r w:rsidR="00561B9F">
        <w:rPr>
          <w:b/>
        </w:rPr>
        <w:t xml:space="preserve"> im kritischen Blick </w:t>
      </w:r>
      <w:r w:rsidR="0066035F">
        <w:rPr>
          <w:b/>
        </w:rPr>
        <w:t xml:space="preserve">Rudolf </w:t>
      </w:r>
      <w:proofErr w:type="spellStart"/>
      <w:r w:rsidR="0066035F">
        <w:rPr>
          <w:b/>
        </w:rPr>
        <w:t>Oldens</w:t>
      </w:r>
      <w:proofErr w:type="spellEnd"/>
    </w:p>
    <w:p w:rsidR="00205F6F" w:rsidRDefault="00205F6F" w:rsidP="008B7447">
      <w:pPr>
        <w:spacing w:after="0"/>
        <w:jc w:val="both"/>
        <w:rPr>
          <w:b/>
        </w:rPr>
      </w:pPr>
    </w:p>
    <w:p w:rsidR="00752308" w:rsidRDefault="00FE5283" w:rsidP="008B7447">
      <w:pPr>
        <w:spacing w:after="0"/>
        <w:jc w:val="both"/>
      </w:pPr>
      <w:r>
        <w:t xml:space="preserve">Zwischen Herbst 1933 und </w:t>
      </w:r>
      <w:r w:rsidR="00561B9F">
        <w:t>Frühjahr 1934</w:t>
      </w:r>
      <w:r w:rsidR="00650D38">
        <w:t xml:space="preserve"> verfass</w:t>
      </w:r>
      <w:r w:rsidR="00752308">
        <w:t xml:space="preserve">en </w:t>
      </w:r>
      <w:proofErr w:type="spellStart"/>
      <w:r w:rsidR="00DB381B">
        <w:t>Ika</w:t>
      </w:r>
      <w:proofErr w:type="spellEnd"/>
      <w:r w:rsidR="00DB381B">
        <w:t xml:space="preserve"> </w:t>
      </w:r>
      <w:r w:rsidR="00650D38">
        <w:t xml:space="preserve">und </w:t>
      </w:r>
      <w:r w:rsidR="00DB381B">
        <w:t xml:space="preserve">Rudolf </w:t>
      </w:r>
      <w:proofErr w:type="spellStart"/>
      <w:r w:rsidR="00650D38">
        <w:t>Olden</w:t>
      </w:r>
      <w:proofErr w:type="spellEnd"/>
      <w:r w:rsidR="00650D38">
        <w:t xml:space="preserve"> </w:t>
      </w:r>
      <w:r w:rsidR="00752308">
        <w:t xml:space="preserve">unter dem Titel </w:t>
      </w:r>
      <w:r w:rsidR="00752308" w:rsidRPr="007F5D6C">
        <w:rPr>
          <w:i/>
        </w:rPr>
        <w:t>Von Hitler vertrieben – Ein Jahr deutsche Emigration</w:t>
      </w:r>
      <w:r w:rsidR="00752308" w:rsidRPr="00D654E2">
        <w:t xml:space="preserve"> </w:t>
      </w:r>
      <w:r w:rsidR="007F5D6C">
        <w:t xml:space="preserve">einen Bericht über die </w:t>
      </w:r>
      <w:r w:rsidR="00B35E8F">
        <w:t xml:space="preserve">Situation der </w:t>
      </w:r>
      <w:r w:rsidR="007F5D6C">
        <w:t xml:space="preserve">deutschen Emigranten in Paris. </w:t>
      </w:r>
      <w:r w:rsidR="00DB381B">
        <w:t>D</w:t>
      </w:r>
      <w:r w:rsidR="00752308">
        <w:t>er Text</w:t>
      </w:r>
      <w:r w:rsidR="00DB381B">
        <w:t xml:space="preserve"> gelangt </w:t>
      </w:r>
      <w:r w:rsidR="00752308">
        <w:t xml:space="preserve">jedoch </w:t>
      </w:r>
      <w:r w:rsidR="00142A2D">
        <w:t xml:space="preserve">erst 1994 </w:t>
      </w:r>
      <w:r w:rsidR="00752308">
        <w:t>unter einem</w:t>
      </w:r>
      <w:r w:rsidR="00142A2D">
        <w:t xml:space="preserve"> </w:t>
      </w:r>
      <w:r w:rsidR="00752308">
        <w:t xml:space="preserve">neuen </w:t>
      </w:r>
      <w:r w:rsidR="00142A2D">
        <w:t xml:space="preserve">Titel </w:t>
      </w:r>
      <w:r w:rsidR="00142A2D">
        <w:rPr>
          <w:i/>
        </w:rPr>
        <w:t xml:space="preserve">„In tiefem Dunkel liegt Deutschland“ </w:t>
      </w:r>
      <w:r w:rsidR="00DB381B">
        <w:t>zur Veröffentlichung.</w:t>
      </w:r>
      <w:r w:rsidR="00863203">
        <w:rPr>
          <w:rStyle w:val="Funotenzeichen"/>
        </w:rPr>
        <w:footnoteReference w:id="1"/>
      </w:r>
      <w:r w:rsidR="00863203">
        <w:t xml:space="preserve"> </w:t>
      </w:r>
    </w:p>
    <w:p w:rsidR="006A7333" w:rsidRDefault="001A64BC" w:rsidP="008B7447">
      <w:pPr>
        <w:spacing w:after="0"/>
        <w:ind w:firstLine="708"/>
        <w:jc w:val="both"/>
      </w:pPr>
      <w:r>
        <w:t>D</w:t>
      </w:r>
      <w:r w:rsidR="00752308">
        <w:t>as schmale Buch</w:t>
      </w:r>
      <w:r w:rsidR="009915E2">
        <w:t xml:space="preserve"> entstand in unmittelbarem Zusammenhang mit dem von Rudolf </w:t>
      </w:r>
      <w:proofErr w:type="spellStart"/>
      <w:r w:rsidR="009915E2">
        <w:t>Olden</w:t>
      </w:r>
      <w:proofErr w:type="spellEnd"/>
      <w:r w:rsidR="009915E2">
        <w:t xml:space="preserve"> konzipierten </w:t>
      </w:r>
      <w:r w:rsidR="00D9672C">
        <w:t>„</w:t>
      </w:r>
      <w:r w:rsidR="009915E2" w:rsidRPr="00D9672C">
        <w:t>Schwarzbuch</w:t>
      </w:r>
      <w:r w:rsidR="00D9672C">
        <w:t>“</w:t>
      </w:r>
      <w:r w:rsidR="009915E2">
        <w:rPr>
          <w:i/>
        </w:rPr>
        <w:t xml:space="preserve"> </w:t>
      </w:r>
      <w:r w:rsidR="00142A2D">
        <w:rPr>
          <w:i/>
        </w:rPr>
        <w:t>D</w:t>
      </w:r>
      <w:r w:rsidR="009915E2" w:rsidRPr="00142A2D">
        <w:rPr>
          <w:i/>
        </w:rPr>
        <w:t>ie Lage der Juden in Deutschland 1933</w:t>
      </w:r>
      <w:r w:rsidR="009915E2">
        <w:t>.</w:t>
      </w:r>
      <w:r w:rsidR="009915E2">
        <w:rPr>
          <w:rStyle w:val="Funotenzeichen"/>
        </w:rPr>
        <w:footnoteReference w:id="2"/>
      </w:r>
      <w:r w:rsidR="009915E2">
        <w:t xml:space="preserve"> </w:t>
      </w:r>
      <w:r w:rsidR="00B35E8F">
        <w:t>N</w:t>
      </w:r>
      <w:r w:rsidR="00131005">
        <w:t>üchtern, vorurteilslos</w:t>
      </w:r>
      <w:r w:rsidR="00B35E8F">
        <w:t xml:space="preserve"> und</w:t>
      </w:r>
      <w:r w:rsidR="00131005">
        <w:t xml:space="preserve"> mit skeptischem Blick auf die </w:t>
      </w:r>
      <w:r w:rsidR="006A7333">
        <w:t>weitere</w:t>
      </w:r>
      <w:r w:rsidR="00131005">
        <w:t xml:space="preserve"> Entwicklung</w:t>
      </w:r>
      <w:r w:rsidR="00B35E8F">
        <w:t xml:space="preserve"> </w:t>
      </w:r>
      <w:r w:rsidR="003159A4">
        <w:t>entw</w:t>
      </w:r>
      <w:r w:rsidR="00142A2D">
        <w:t>i</w:t>
      </w:r>
      <w:r w:rsidR="003159A4">
        <w:t>rf</w:t>
      </w:r>
      <w:r w:rsidR="00142A2D">
        <w:t>t</w:t>
      </w:r>
      <w:r w:rsidR="00B35E8F">
        <w:t xml:space="preserve"> </w:t>
      </w:r>
      <w:r w:rsidR="00142A2D">
        <w:t xml:space="preserve">das Ehepaar </w:t>
      </w:r>
      <w:proofErr w:type="spellStart"/>
      <w:r w:rsidR="00142A2D">
        <w:t>Olden</w:t>
      </w:r>
      <w:proofErr w:type="spellEnd"/>
      <w:r w:rsidR="00142A2D">
        <w:t xml:space="preserve"> </w:t>
      </w:r>
      <w:r w:rsidR="003159A4">
        <w:t xml:space="preserve">ein Bild der </w:t>
      </w:r>
      <w:r w:rsidR="00B35E8F">
        <w:t>Lage. Es ist ein</w:t>
      </w:r>
      <w:r w:rsidR="0006092D">
        <w:t xml:space="preserve"> im Kontext des </w:t>
      </w:r>
      <w:r w:rsidR="00D654E2">
        <w:t xml:space="preserve">frühen </w:t>
      </w:r>
      <w:r w:rsidR="0006092D">
        <w:t xml:space="preserve">Exils </w:t>
      </w:r>
      <w:r w:rsidR="006A7333">
        <w:t xml:space="preserve">ungewöhnlicher Text, denn </w:t>
      </w:r>
      <w:r w:rsidR="00142A2D">
        <w:t xml:space="preserve">die beiden Verfasser </w:t>
      </w:r>
      <w:r w:rsidR="006A7333">
        <w:t>richte</w:t>
      </w:r>
      <w:r w:rsidR="00142A2D">
        <w:t>n</w:t>
      </w:r>
      <w:r w:rsidR="006A7333">
        <w:t xml:space="preserve"> </w:t>
      </w:r>
      <w:r w:rsidR="00142A2D">
        <w:t>ihr</w:t>
      </w:r>
      <w:r w:rsidR="006A7333">
        <w:t xml:space="preserve"> </w:t>
      </w:r>
      <w:r w:rsidR="001440F9">
        <w:t xml:space="preserve">Augenmerk </w:t>
      </w:r>
      <w:r w:rsidR="006A7333">
        <w:t xml:space="preserve">nicht </w:t>
      </w:r>
      <w:r w:rsidR="00142A2D">
        <w:t>so sehr</w:t>
      </w:r>
      <w:r w:rsidR="006A7333">
        <w:t xml:space="preserve"> auf d</w:t>
      </w:r>
      <w:r w:rsidR="00D654E2">
        <w:t>ie</w:t>
      </w:r>
      <w:r w:rsidR="006A7333">
        <w:t xml:space="preserve"> </w:t>
      </w:r>
      <w:r w:rsidR="006A7333" w:rsidRPr="00F0303D">
        <w:rPr>
          <w:i/>
        </w:rPr>
        <w:t>politische</w:t>
      </w:r>
      <w:r w:rsidR="00142A2D" w:rsidRPr="00F0303D">
        <w:rPr>
          <w:i/>
        </w:rPr>
        <w:t>n</w:t>
      </w:r>
      <w:r w:rsidR="006A7333" w:rsidRPr="00F0303D">
        <w:rPr>
          <w:i/>
        </w:rPr>
        <w:t xml:space="preserve"> </w:t>
      </w:r>
      <w:r w:rsidR="00142A2D">
        <w:t>Flüchtlinge</w:t>
      </w:r>
      <w:r w:rsidR="006A7333">
        <w:t xml:space="preserve">, </w:t>
      </w:r>
      <w:r w:rsidR="0006092D">
        <w:t>so</w:t>
      </w:r>
      <w:r w:rsidR="0006092D">
        <w:t>n</w:t>
      </w:r>
      <w:r w:rsidR="0006092D">
        <w:t xml:space="preserve">dern auf </w:t>
      </w:r>
      <w:r w:rsidR="00F0303D">
        <w:t xml:space="preserve">die </w:t>
      </w:r>
      <w:r w:rsidR="003159A4">
        <w:t>durch</w:t>
      </w:r>
      <w:r w:rsidR="001440F9">
        <w:t xml:space="preserve"> </w:t>
      </w:r>
      <w:r w:rsidR="006A7333" w:rsidRPr="00F0303D">
        <w:rPr>
          <w:i/>
        </w:rPr>
        <w:t>rassenideologisch</w:t>
      </w:r>
      <w:r w:rsidR="001440F9" w:rsidRPr="00F0303D">
        <w:rPr>
          <w:i/>
        </w:rPr>
        <w:t>e</w:t>
      </w:r>
      <w:r w:rsidR="001440F9">
        <w:t xml:space="preserve"> </w:t>
      </w:r>
      <w:r w:rsidR="001440F9" w:rsidRPr="00D9672C">
        <w:rPr>
          <w:i/>
        </w:rPr>
        <w:t>Verfolgung</w:t>
      </w:r>
      <w:r w:rsidR="006A7333">
        <w:t xml:space="preserve"> motivierte Emigration</w:t>
      </w:r>
      <w:r w:rsidR="00D654E2">
        <w:t xml:space="preserve">. </w:t>
      </w:r>
      <w:r w:rsidR="00F0303D">
        <w:t xml:space="preserve">Dass beide Bereiche sich überschneiden, ist den Autoren dabei selbstverständlich bewusst. </w:t>
      </w:r>
      <w:r w:rsidR="00D9639D">
        <w:t xml:space="preserve">Der Bericht ist </w:t>
      </w:r>
      <w:r w:rsidR="00D9672C">
        <w:t>offe</w:t>
      </w:r>
      <w:r w:rsidR="00D9672C">
        <w:t>n</w:t>
      </w:r>
      <w:r w:rsidR="00D9672C">
        <w:t xml:space="preserve">sichtlich </w:t>
      </w:r>
      <w:r w:rsidR="00447EC3">
        <w:t xml:space="preserve">an </w:t>
      </w:r>
      <w:r w:rsidR="00D9639D">
        <w:t>die internationale Öffentlichkeit</w:t>
      </w:r>
      <w:r w:rsidR="00447EC3">
        <w:t xml:space="preserve"> gerichtet, um sie über den Charakter der Emigr</w:t>
      </w:r>
      <w:r w:rsidR="00447EC3">
        <w:t>a</w:t>
      </w:r>
      <w:r w:rsidR="00447EC3">
        <w:t>tion zu informieren und auf Gefahren</w:t>
      </w:r>
      <w:r w:rsidR="00447EC3" w:rsidRPr="00447EC3">
        <w:t xml:space="preserve"> </w:t>
      </w:r>
      <w:r w:rsidR="00447EC3">
        <w:t>aufmerksam zu machen, die, falls die europäischen Staaten nicht schnell und geschlossen reagieren, aus diesem Versäumnis erwachsen</w:t>
      </w:r>
      <w:r w:rsidR="00D9639D">
        <w:t>.</w:t>
      </w:r>
      <w:r w:rsidR="00D9639D">
        <w:rPr>
          <w:rStyle w:val="Funotenzeichen"/>
        </w:rPr>
        <w:footnoteReference w:id="3"/>
      </w:r>
    </w:p>
    <w:p w:rsidR="00EC14A3" w:rsidRDefault="00EC14A3" w:rsidP="008B7447">
      <w:pPr>
        <w:spacing w:after="0"/>
        <w:ind w:firstLine="708"/>
        <w:jc w:val="both"/>
      </w:pPr>
      <w:r>
        <w:t>Nur wenige Autoren haben die Lage der Emigranten sowie die Folgen und Kons</w:t>
      </w:r>
      <w:r>
        <w:t>e</w:t>
      </w:r>
      <w:r>
        <w:t>quenzen der Emigration so genau und mit derartig subtiler Sachkenntnis beschrieben wie R</w:t>
      </w:r>
      <w:r>
        <w:t>u</w:t>
      </w:r>
      <w:r>
        <w:t xml:space="preserve">dolf und </w:t>
      </w:r>
      <w:proofErr w:type="spellStart"/>
      <w:r>
        <w:t>Ika</w:t>
      </w:r>
      <w:proofErr w:type="spellEnd"/>
      <w:r>
        <w:t xml:space="preserve"> </w:t>
      </w:r>
      <w:proofErr w:type="spellStart"/>
      <w:r>
        <w:t>Olden</w:t>
      </w:r>
      <w:proofErr w:type="spellEnd"/>
      <w:r>
        <w:t>. Sie vermeiden Larmoyanz und scheuen sich auch nicht, die Schwächen der Emigranten offen zu benennen. Trotzdem ist stets Empathie zu spüren, verbunden mit</w:t>
      </w:r>
      <w:r w:rsidRPr="006B04FD">
        <w:t xml:space="preserve"> </w:t>
      </w:r>
      <w:r>
        <w:t xml:space="preserve">strikter Sachlichkeit und manchmal mit ironischer Distanz. Im Zusammenhang ihres Berichts gehen sie </w:t>
      </w:r>
      <w:r w:rsidR="00447EC3">
        <w:t>durchaus</w:t>
      </w:r>
      <w:r>
        <w:t xml:space="preserve"> auch auf Fehlentwicklungen und Versäumnisse der Weimarer Republik und ihrer politischen Führung ein, also auf die Folgen des politischen Handelns von Personen, die sich jetzt aufgrund der politischen Entwicklung als Emigranten in den deutschen Nachba</w:t>
      </w:r>
      <w:r>
        <w:t>r</w:t>
      </w:r>
      <w:r>
        <w:t xml:space="preserve">staaten befinden. Auch das ist für die frühe Phase des Exils ungewöhnlich. </w:t>
      </w:r>
    </w:p>
    <w:p w:rsidR="00BD450A" w:rsidRDefault="00131005" w:rsidP="008B7447">
      <w:pPr>
        <w:spacing w:after="0"/>
        <w:ind w:firstLine="708"/>
        <w:jc w:val="both"/>
      </w:pPr>
      <w:r>
        <w:t xml:space="preserve">Rudolf </w:t>
      </w:r>
      <w:proofErr w:type="spellStart"/>
      <w:r w:rsidR="005F18C7">
        <w:t>O</w:t>
      </w:r>
      <w:r w:rsidR="00BD450A">
        <w:t>lden</w:t>
      </w:r>
      <w:proofErr w:type="spellEnd"/>
      <w:r w:rsidR="00DE42EA">
        <w:t>,</w:t>
      </w:r>
      <w:r w:rsidR="00BD450A">
        <w:t xml:space="preserve"> </w:t>
      </w:r>
      <w:r w:rsidR="00DE42EA">
        <w:t>prominentes Mitglied der Deutschen Liga für Menschenrechte und Se</w:t>
      </w:r>
      <w:r w:rsidR="00DE42EA">
        <w:t>k</w:t>
      </w:r>
      <w:r w:rsidR="00DE42EA">
        <w:t>retär des PEN-Clubs deutschsprachiger Autoren</w:t>
      </w:r>
      <w:r w:rsidR="00B35E8F">
        <w:t xml:space="preserve"> im Exil</w:t>
      </w:r>
      <w:r w:rsidR="00DE42EA">
        <w:t xml:space="preserve">, </w:t>
      </w:r>
      <w:r w:rsidR="00BD450A">
        <w:t xml:space="preserve">war vor seiner </w:t>
      </w:r>
      <w:r w:rsidR="001440F9">
        <w:t>Emigration</w:t>
      </w:r>
      <w:r w:rsidR="00BD450A">
        <w:t xml:space="preserve"> polit</w:t>
      </w:r>
      <w:r w:rsidR="00BD450A">
        <w:t>i</w:t>
      </w:r>
      <w:r w:rsidR="00BD450A">
        <w:t xml:space="preserve">scher Kommentator </w:t>
      </w:r>
      <w:r w:rsidR="001440F9">
        <w:t xml:space="preserve">des </w:t>
      </w:r>
      <w:r w:rsidR="001440F9">
        <w:rPr>
          <w:i/>
        </w:rPr>
        <w:t xml:space="preserve">Berliner Tageblatts </w:t>
      </w:r>
      <w:r w:rsidR="00BD450A">
        <w:t>und stellvertretender Chefredakteur</w:t>
      </w:r>
      <w:r w:rsidR="005F18C7">
        <w:t>,</w:t>
      </w:r>
      <w:r w:rsidR="005F18C7" w:rsidRPr="005F18C7">
        <w:t xml:space="preserve"> </w:t>
      </w:r>
      <w:r w:rsidR="005F18C7">
        <w:t>Rechtsa</w:t>
      </w:r>
      <w:r w:rsidR="005F18C7">
        <w:t>n</w:t>
      </w:r>
      <w:r w:rsidR="005F18C7">
        <w:t xml:space="preserve">walt beim Kammergericht und Strafverteidiger in zahlreichen politischen Prozessen, </w:t>
      </w:r>
      <w:r w:rsidR="00DE42EA">
        <w:t xml:space="preserve">so </w:t>
      </w:r>
      <w:r w:rsidR="005F18C7">
        <w:t xml:space="preserve">u.a. </w:t>
      </w:r>
      <w:r w:rsidR="007A5002">
        <w:t>als</w:t>
      </w:r>
      <w:r w:rsidR="005F18C7">
        <w:t xml:space="preserve"> Verteidiger von Carl von Ossietzky im </w:t>
      </w:r>
      <w:r w:rsidR="005F18C7">
        <w:rPr>
          <w:i/>
        </w:rPr>
        <w:t>Weltbühnen</w:t>
      </w:r>
      <w:r w:rsidR="005F18C7">
        <w:t>-Prozess von 1932</w:t>
      </w:r>
      <w:r w:rsidR="00BD450A">
        <w:t xml:space="preserve">. </w:t>
      </w:r>
      <w:proofErr w:type="spellStart"/>
      <w:r w:rsidR="005F18C7">
        <w:t>Ika</w:t>
      </w:r>
      <w:proofErr w:type="spellEnd"/>
      <w:r w:rsidR="005F18C7">
        <w:t xml:space="preserve"> </w:t>
      </w:r>
      <w:proofErr w:type="spellStart"/>
      <w:r w:rsidR="005F18C7">
        <w:t>Olden</w:t>
      </w:r>
      <w:proofErr w:type="spellEnd"/>
      <w:r w:rsidR="005F18C7">
        <w:t xml:space="preserve">, seine Frau, </w:t>
      </w:r>
      <w:r w:rsidR="00F0303D">
        <w:t>ist</w:t>
      </w:r>
      <w:r w:rsidR="005F18C7">
        <w:t xml:space="preserve"> die Tochter von Georg </w:t>
      </w:r>
      <w:proofErr w:type="spellStart"/>
      <w:r w:rsidR="005F18C7">
        <w:t>Halpern</w:t>
      </w:r>
      <w:proofErr w:type="spellEnd"/>
      <w:r w:rsidR="005F18C7">
        <w:t>, einem engen Mitarbeiter von Chaim Weizmann.</w:t>
      </w:r>
      <w:r>
        <w:t xml:space="preserve"> </w:t>
      </w:r>
    </w:p>
    <w:p w:rsidR="00117041" w:rsidRDefault="00117041" w:rsidP="008B7447">
      <w:pPr>
        <w:spacing w:after="0"/>
        <w:ind w:firstLine="708"/>
        <w:jc w:val="both"/>
      </w:pPr>
    </w:p>
    <w:p w:rsidR="00207593" w:rsidRDefault="00CE4D5B" w:rsidP="008B7447">
      <w:pPr>
        <w:spacing w:after="0"/>
        <w:ind w:firstLine="708"/>
        <w:jc w:val="both"/>
      </w:pPr>
      <w:r>
        <w:t>D</w:t>
      </w:r>
      <w:r w:rsidR="00207593">
        <w:t>as Buch</w:t>
      </w:r>
      <w:r>
        <w:t xml:space="preserve"> beginnt mit </w:t>
      </w:r>
      <w:r w:rsidR="00A72C5F">
        <w:t>d</w:t>
      </w:r>
      <w:r>
        <w:t>e</w:t>
      </w:r>
      <w:r w:rsidR="000876BE">
        <w:t xml:space="preserve">m </w:t>
      </w:r>
      <w:r w:rsidR="00A72C5F">
        <w:t>Hinweis auf ein Plakat</w:t>
      </w:r>
      <w:r w:rsidR="0035710A">
        <w:t>, das</w:t>
      </w:r>
      <w:r w:rsidR="00A72C5F">
        <w:t xml:space="preserve"> in der </w:t>
      </w:r>
      <w:r w:rsidR="00207593">
        <w:t>zentrale</w:t>
      </w:r>
      <w:r w:rsidR="00A72C5F">
        <w:t>n</w:t>
      </w:r>
      <w:r w:rsidR="00207593">
        <w:t xml:space="preserve"> Anlaufstelle für die </w:t>
      </w:r>
      <w:r w:rsidR="00A72C5F">
        <w:t>jüdischen Emigranten in Paris</w:t>
      </w:r>
      <w:r w:rsidR="0035710A">
        <w:t xml:space="preserve"> aushängt</w:t>
      </w:r>
      <w:r w:rsidR="00207593">
        <w:t>:</w:t>
      </w:r>
    </w:p>
    <w:p w:rsidR="00207593" w:rsidRDefault="00207593" w:rsidP="008B7447">
      <w:pPr>
        <w:spacing w:after="0"/>
        <w:ind w:left="1068"/>
        <w:jc w:val="both"/>
      </w:pPr>
      <w:r>
        <w:lastRenderedPageBreak/>
        <w:t xml:space="preserve">„Wer im Januar des Jahres 1934 die Räume in der </w:t>
      </w:r>
      <w:proofErr w:type="spellStart"/>
      <w:r>
        <w:t>rue</w:t>
      </w:r>
      <w:proofErr w:type="spellEnd"/>
      <w:r>
        <w:t xml:space="preserve"> de la </w:t>
      </w:r>
      <w:proofErr w:type="spellStart"/>
      <w:r>
        <w:t>Durance</w:t>
      </w:r>
      <w:proofErr w:type="spellEnd"/>
      <w:r>
        <w:t xml:space="preserve"> betrat, in der das </w:t>
      </w:r>
      <w:proofErr w:type="spellStart"/>
      <w:r>
        <w:t>Comité</w:t>
      </w:r>
      <w:proofErr w:type="spellEnd"/>
      <w:r>
        <w:t xml:space="preserve"> National de </w:t>
      </w:r>
      <w:proofErr w:type="spellStart"/>
      <w:r>
        <w:t>Secours</w:t>
      </w:r>
      <w:proofErr w:type="spellEnd"/>
      <w:r>
        <w:t xml:space="preserve"> </w:t>
      </w:r>
      <w:proofErr w:type="spellStart"/>
      <w:r>
        <w:t>aux</w:t>
      </w:r>
      <w:proofErr w:type="spellEnd"/>
      <w:r>
        <w:t xml:space="preserve"> </w:t>
      </w:r>
      <w:proofErr w:type="spellStart"/>
      <w:r>
        <w:t>Réfugiés</w:t>
      </w:r>
      <w:proofErr w:type="spellEnd"/>
      <w:r>
        <w:t xml:space="preserve"> </w:t>
      </w:r>
      <w:proofErr w:type="spellStart"/>
      <w:r>
        <w:t>Allemand</w:t>
      </w:r>
      <w:proofErr w:type="spellEnd"/>
      <w:r>
        <w:t xml:space="preserve"> </w:t>
      </w:r>
      <w:proofErr w:type="spellStart"/>
      <w:r>
        <w:t>Victimes</w:t>
      </w:r>
      <w:proofErr w:type="spellEnd"/>
      <w:r>
        <w:t xml:space="preserve"> de </w:t>
      </w:r>
      <w:proofErr w:type="spellStart"/>
      <w:r>
        <w:t>l’Antisémitisme</w:t>
      </w:r>
      <w:proofErr w:type="spellEnd"/>
      <w:r>
        <w:t xml:space="preserve"> seine </w:t>
      </w:r>
      <w:proofErr w:type="spellStart"/>
      <w:r>
        <w:t>Bureaus</w:t>
      </w:r>
      <w:proofErr w:type="spellEnd"/>
      <w:r>
        <w:t xml:space="preserve"> eingerich</w:t>
      </w:r>
      <w:r w:rsidR="00A72C5F">
        <w:t>t</w:t>
      </w:r>
      <w:r>
        <w:t>et hat, dem fiel als erstes ein Plakat in die Augen, auf dem zu lesen war:</w:t>
      </w:r>
    </w:p>
    <w:p w:rsidR="00207593" w:rsidRDefault="00207593" w:rsidP="008B7447">
      <w:pPr>
        <w:spacing w:after="0"/>
        <w:ind w:left="1068"/>
        <w:jc w:val="both"/>
      </w:pPr>
      <w:r>
        <w:t>‚Neuaufnahmen finden nicht mehr statt</w:t>
      </w:r>
      <w:proofErr w:type="gramStart"/>
      <w:r>
        <w:t>.‘</w:t>
      </w:r>
      <w:proofErr w:type="gramEnd"/>
    </w:p>
    <w:p w:rsidR="000876BE" w:rsidRDefault="00207593" w:rsidP="008B7447">
      <w:pPr>
        <w:spacing w:after="0"/>
        <w:ind w:left="1068"/>
        <w:jc w:val="both"/>
      </w:pPr>
      <w:r>
        <w:t>Das war nicht nur so gesagt.</w:t>
      </w:r>
    </w:p>
    <w:p w:rsidR="00207593" w:rsidRDefault="00207593" w:rsidP="008B7447">
      <w:pPr>
        <w:spacing w:after="0"/>
        <w:ind w:left="1068"/>
        <w:jc w:val="both"/>
      </w:pPr>
      <w:r>
        <w:t>Sondern es war die Parole, die dort und nicht nur dort galt: die Emigration sei zu Ende. Oder vielleicht so: die Emigration habe zu Ende zu sei.“</w:t>
      </w:r>
      <w:r>
        <w:rPr>
          <w:rStyle w:val="Funotenzeichen"/>
        </w:rPr>
        <w:footnoteReference w:id="4"/>
      </w:r>
    </w:p>
    <w:p w:rsidR="00F86884" w:rsidRDefault="005E7938" w:rsidP="008B7447">
      <w:pPr>
        <w:spacing w:after="0"/>
        <w:jc w:val="both"/>
      </w:pPr>
      <w:proofErr w:type="spellStart"/>
      <w:r>
        <w:t>Ika</w:t>
      </w:r>
      <w:proofErr w:type="spellEnd"/>
      <w:r>
        <w:t xml:space="preserve"> und Rudolf </w:t>
      </w:r>
      <w:proofErr w:type="spellStart"/>
      <w:r>
        <w:t>Olden</w:t>
      </w:r>
      <w:proofErr w:type="spellEnd"/>
      <w:r>
        <w:t xml:space="preserve"> </w:t>
      </w:r>
      <w:r w:rsidR="00F86884">
        <w:t xml:space="preserve">nehmen das Plakat zum Anlass, auf </w:t>
      </w:r>
      <w:r>
        <w:t>eine eklatante Fehleinschätzung</w:t>
      </w:r>
      <w:r w:rsidR="00F86884">
        <w:t xml:space="preserve"> </w:t>
      </w:r>
      <w:r w:rsidR="00294BFB">
        <w:t xml:space="preserve">der politischen Entwicklung </w:t>
      </w:r>
      <w:r w:rsidR="00F86884">
        <w:t>hinzuweisen, die sich in der französischen Öffentlichkeit immer stä</w:t>
      </w:r>
      <w:r w:rsidR="00F86884">
        <w:t>r</w:t>
      </w:r>
      <w:r w:rsidR="00F86884">
        <w:t>ker bemerkbar macht</w:t>
      </w:r>
      <w:r w:rsidR="00294BFB">
        <w:t>.</w:t>
      </w:r>
      <w:r w:rsidR="00F86884">
        <w:t xml:space="preserve"> Statt </w:t>
      </w:r>
      <w:r w:rsidR="00E50BC5">
        <w:t xml:space="preserve">sich auf </w:t>
      </w:r>
      <w:r w:rsidR="00D9672C">
        <w:t>ein</w:t>
      </w:r>
      <w:r w:rsidR="00E50BC5">
        <w:t xml:space="preserve"> </w:t>
      </w:r>
      <w:r w:rsidR="00F86884">
        <w:t xml:space="preserve">Anwachsen der Fluchtbewegung </w:t>
      </w:r>
      <w:r w:rsidR="00D9672C">
        <w:t>vorzuberei</w:t>
      </w:r>
      <w:r w:rsidR="00F86884">
        <w:t>te</w:t>
      </w:r>
      <w:r w:rsidR="00E50BC5">
        <w:t>n</w:t>
      </w:r>
      <w:r w:rsidR="00F86884">
        <w:t>,</w:t>
      </w:r>
      <w:r w:rsidR="00E50BC5">
        <w:t xml:space="preserve"> </w:t>
      </w:r>
      <w:r w:rsidR="00294BFB">
        <w:t>ve</w:t>
      </w:r>
      <w:r w:rsidR="00294BFB">
        <w:t>r</w:t>
      </w:r>
      <w:r w:rsidR="00294BFB">
        <w:t xml:space="preserve">kennt die französische Öffentlichkeit </w:t>
      </w:r>
      <w:r w:rsidR="00D9672C">
        <w:t>die Zwangsläufigkeit der Entwicklung</w:t>
      </w:r>
      <w:r w:rsidR="00294BFB">
        <w:t xml:space="preserve">, vor allem auch, dass sich aus dem weiteren Anwachsen der Fluchtbewegung steigende </w:t>
      </w:r>
      <w:r w:rsidR="00D9672C">
        <w:t xml:space="preserve">soziale und finanzielle </w:t>
      </w:r>
      <w:r w:rsidR="00E50BC5">
        <w:t>L</w:t>
      </w:r>
      <w:r w:rsidR="00F86884">
        <w:t>ast</w:t>
      </w:r>
      <w:r w:rsidR="00E50BC5">
        <w:t xml:space="preserve">en </w:t>
      </w:r>
      <w:r w:rsidR="00294BFB">
        <w:t>ergeben</w:t>
      </w:r>
      <w:r w:rsidR="00F86884">
        <w:t xml:space="preserve">. </w:t>
      </w:r>
    </w:p>
    <w:p w:rsidR="005E7938" w:rsidRDefault="00F86884" w:rsidP="008B7447">
      <w:pPr>
        <w:spacing w:after="0"/>
        <w:ind w:firstLine="708"/>
        <w:jc w:val="both"/>
      </w:pPr>
      <w:r>
        <w:t xml:space="preserve">Das Ehepaar </w:t>
      </w:r>
      <w:proofErr w:type="spellStart"/>
      <w:r>
        <w:t>Olden</w:t>
      </w:r>
      <w:proofErr w:type="spellEnd"/>
      <w:r>
        <w:t xml:space="preserve"> reagiert auf diese Fehleinschätzung ebenso</w:t>
      </w:r>
      <w:r w:rsidR="005E7938">
        <w:t xml:space="preserve"> </w:t>
      </w:r>
      <w:r w:rsidR="00CE4D5B">
        <w:t xml:space="preserve">höflich </w:t>
      </w:r>
      <w:r>
        <w:t>wie z</w:t>
      </w:r>
      <w:r w:rsidR="00CE4D5B">
        <w:t>urückha</w:t>
      </w:r>
      <w:r w:rsidR="00CE4D5B">
        <w:t>l</w:t>
      </w:r>
      <w:r w:rsidR="00CE4D5B">
        <w:t>t</w:t>
      </w:r>
      <w:r>
        <w:t>end</w:t>
      </w:r>
      <w:r w:rsidR="00E53256">
        <w:t>, indem es</w:t>
      </w:r>
      <w:r w:rsidR="00E50BC5">
        <w:t>,</w:t>
      </w:r>
      <w:r w:rsidR="00E53256">
        <w:t xml:space="preserve"> </w:t>
      </w:r>
      <w:r w:rsidR="00E50BC5">
        <w:t>ohne auf Details einzugehen,</w:t>
      </w:r>
      <w:r w:rsidR="00E53256">
        <w:t xml:space="preserve"> </w:t>
      </w:r>
      <w:r w:rsidR="00D9672C">
        <w:t xml:space="preserve">nur </w:t>
      </w:r>
      <w:r w:rsidR="00E53256">
        <w:t xml:space="preserve">die </w:t>
      </w:r>
      <w:r w:rsidR="00E50BC5">
        <w:t>eigenen Erwartungen formuliert</w:t>
      </w:r>
      <w:r w:rsidR="005E7938">
        <w:t xml:space="preserve">: </w:t>
      </w:r>
    </w:p>
    <w:p w:rsidR="005E7938" w:rsidRDefault="00CE4D5B" w:rsidP="008B7447">
      <w:pPr>
        <w:spacing w:after="0"/>
        <w:ind w:firstLine="1134"/>
        <w:jc w:val="both"/>
      </w:pPr>
      <w:r>
        <w:t xml:space="preserve">„Viele sind der Meinung, </w:t>
      </w:r>
      <w:proofErr w:type="spellStart"/>
      <w:r>
        <w:t>daß</w:t>
      </w:r>
      <w:proofErr w:type="spellEnd"/>
      <w:r>
        <w:t xml:space="preserve"> sie erst angefangen hat.“</w:t>
      </w:r>
      <w:r w:rsidR="005E7938">
        <w:rPr>
          <w:rStyle w:val="Funotenzeichen"/>
        </w:rPr>
        <w:footnoteReference w:id="5"/>
      </w:r>
      <w:r>
        <w:t xml:space="preserve"> </w:t>
      </w:r>
    </w:p>
    <w:p w:rsidR="00CE4D5B" w:rsidRDefault="00E53256" w:rsidP="008B7447">
      <w:pPr>
        <w:spacing w:after="0"/>
        <w:jc w:val="both"/>
      </w:pPr>
      <w:r>
        <w:t>Drei Dinge s</w:t>
      </w:r>
      <w:r w:rsidR="00E50BC5">
        <w:t>ind</w:t>
      </w:r>
      <w:r>
        <w:t xml:space="preserve"> möglich: </w:t>
      </w:r>
    </w:p>
    <w:p w:rsidR="00CE4D5B" w:rsidRDefault="00CE4D5B" w:rsidP="008B7447">
      <w:pPr>
        <w:spacing w:after="0"/>
        <w:ind w:left="1134"/>
        <w:jc w:val="both"/>
      </w:pPr>
      <w:r>
        <w:t>„Erstens: neue Judenverfolgu</w:t>
      </w:r>
      <w:r w:rsidR="00B85C69">
        <w:t>n</w:t>
      </w:r>
      <w:r>
        <w:t>gen in Deutschland.</w:t>
      </w:r>
    </w:p>
    <w:p w:rsidR="00CE4D5B" w:rsidRDefault="00CE4D5B" w:rsidP="008B7447">
      <w:pPr>
        <w:spacing w:after="0"/>
        <w:ind w:left="1134"/>
        <w:jc w:val="both"/>
      </w:pPr>
      <w:r>
        <w:t>Zweitens: Andere Länder gehen zu den deutschen Methoden über.</w:t>
      </w:r>
    </w:p>
    <w:p w:rsidR="00CE4D5B" w:rsidRDefault="00CE4D5B" w:rsidP="008B7447">
      <w:pPr>
        <w:spacing w:after="0"/>
        <w:ind w:left="1134"/>
        <w:jc w:val="both"/>
      </w:pPr>
      <w:r>
        <w:t>Drittens: Aus Fremden von Distinktion werden Arme. Und erst die fremden A</w:t>
      </w:r>
      <w:r>
        <w:t>r</w:t>
      </w:r>
      <w:r>
        <w:t>men sind die Emigranten, die für die Wohltätigkeit von Bedeutung sind.“</w:t>
      </w:r>
      <w:r>
        <w:rPr>
          <w:rStyle w:val="Funotenzeichen"/>
        </w:rPr>
        <w:footnoteReference w:id="6"/>
      </w:r>
    </w:p>
    <w:p w:rsidR="00F45006" w:rsidRDefault="004043E4" w:rsidP="008B7447">
      <w:pPr>
        <w:spacing w:after="0"/>
        <w:jc w:val="both"/>
      </w:pPr>
      <w:r>
        <w:t xml:space="preserve">Das Fazit, das sich aus diesen Überlegungen ergibt, liegt auf der Hand: </w:t>
      </w:r>
      <w:r w:rsidR="00DF3331">
        <w:t>Nu</w:t>
      </w:r>
      <w:r w:rsidR="009B5723">
        <w:t>r bei schnellem und entschlossenem Handeln ist e</w:t>
      </w:r>
      <w:r w:rsidR="00DF3331">
        <w:t xml:space="preserve">ine Katastrophe </w:t>
      </w:r>
      <w:r w:rsidR="009B5723">
        <w:t>v</w:t>
      </w:r>
      <w:r w:rsidR="00DF3331">
        <w:t>ermeid</w:t>
      </w:r>
      <w:r w:rsidR="009B5723">
        <w:t>bar.</w:t>
      </w:r>
      <w:r w:rsidR="00DF3331">
        <w:t xml:space="preserve"> </w:t>
      </w:r>
      <w:r>
        <w:t>Um d</w:t>
      </w:r>
      <w:r w:rsidRPr="009B5723">
        <w:t xml:space="preserve">ie Judenverfolgung </w:t>
      </w:r>
      <w:r>
        <w:t>als ausl</w:t>
      </w:r>
      <w:r>
        <w:t>ö</w:t>
      </w:r>
      <w:r>
        <w:t>sendes Moment der Fluchtbewegung zu</w:t>
      </w:r>
      <w:r w:rsidRPr="00294BFB">
        <w:t xml:space="preserve"> </w:t>
      </w:r>
      <w:r>
        <w:t>stopp</w:t>
      </w:r>
      <w:r w:rsidRPr="009B5723">
        <w:t>e</w:t>
      </w:r>
      <w:r>
        <w:t xml:space="preserve">n, wäre kollektiver politischer Druck auf Deutschland seitens der europäischen Staaten erforderlich. </w:t>
      </w:r>
      <w:proofErr w:type="spellStart"/>
      <w:r>
        <w:t>Ika</w:t>
      </w:r>
      <w:proofErr w:type="spellEnd"/>
      <w:r>
        <w:t xml:space="preserve"> und Rudolf </w:t>
      </w:r>
      <w:proofErr w:type="spellStart"/>
      <w:r>
        <w:t>Olden</w:t>
      </w:r>
      <w:proofErr w:type="spellEnd"/>
      <w:r>
        <w:t xml:space="preserve"> gehen j</w:t>
      </w:r>
      <w:r>
        <w:t>e</w:t>
      </w:r>
      <w:r>
        <w:t xml:space="preserve">doch </w:t>
      </w:r>
      <w:r w:rsidRPr="00F45006">
        <w:rPr>
          <w:i/>
        </w:rPr>
        <w:t>nicht</w:t>
      </w:r>
      <w:r>
        <w:t xml:space="preserve"> davon aus, dass es zu dieser politisch abgestimmten Aktion </w:t>
      </w:r>
      <w:r w:rsidRPr="004043E4">
        <w:t>kommt.</w:t>
      </w:r>
    </w:p>
    <w:p w:rsidR="00D7783C" w:rsidRDefault="00F45006" w:rsidP="008B7447">
      <w:pPr>
        <w:spacing w:after="0"/>
        <w:ind w:firstLine="708"/>
        <w:jc w:val="both"/>
      </w:pPr>
      <w:r>
        <w:t xml:space="preserve">Wie </w:t>
      </w:r>
      <w:r w:rsidR="00CC396E">
        <w:t>zutreffend</w:t>
      </w:r>
      <w:r>
        <w:t xml:space="preserve"> diese Prognose </w:t>
      </w:r>
      <w:r w:rsidR="00294BFB">
        <w:t>ist</w:t>
      </w:r>
      <w:r>
        <w:t xml:space="preserve">, zeigt </w:t>
      </w:r>
      <w:r w:rsidR="004043E4">
        <w:t>der</w:t>
      </w:r>
      <w:r>
        <w:t xml:space="preserve"> Blick auf die historische Entwicklung. </w:t>
      </w:r>
      <w:r w:rsidR="004043E4">
        <w:t>D</w:t>
      </w:r>
      <w:r w:rsidR="00FF281D">
        <w:t xml:space="preserve">ie Fluchtbewegung </w:t>
      </w:r>
      <w:r w:rsidR="004043E4">
        <w:t>verringert sich in den folgenden Jahren nur geringfügig. S</w:t>
      </w:r>
      <w:r w:rsidR="009B5723">
        <w:t>ie</w:t>
      </w:r>
      <w:r w:rsidR="00FF281D">
        <w:t xml:space="preserve"> </w:t>
      </w:r>
      <w:r w:rsidR="004043E4">
        <w:t xml:space="preserve">erreicht </w:t>
      </w:r>
      <w:r w:rsidR="00C01A7E">
        <w:t xml:space="preserve">ihren </w:t>
      </w:r>
      <w:r w:rsidR="00FF281D">
        <w:t xml:space="preserve">Höhepunkt </w:t>
      </w:r>
      <w:r w:rsidR="004043E4">
        <w:t xml:space="preserve">erst </w:t>
      </w:r>
      <w:r w:rsidR="00FF281D">
        <w:t>1938/39</w:t>
      </w:r>
      <w:r w:rsidR="004043E4">
        <w:t xml:space="preserve"> – im</w:t>
      </w:r>
      <w:r>
        <w:t xml:space="preserve"> Zusammenhang der Annexion Österreichs, der Abschiebung der „polnischen Juden“ und der Novemberpogrome</w:t>
      </w:r>
      <w:r w:rsidR="00FF281D">
        <w:t xml:space="preserve">. </w:t>
      </w:r>
      <w:r w:rsidR="004043E4">
        <w:t xml:space="preserve">Bereits vorher wird jedoch erkennbar, wie richtig die Einschätzung des Ehepaars </w:t>
      </w:r>
      <w:proofErr w:type="spellStart"/>
      <w:r w:rsidR="004043E4">
        <w:t>Olden</w:t>
      </w:r>
      <w:proofErr w:type="spellEnd"/>
      <w:r w:rsidR="004043E4">
        <w:t xml:space="preserve"> hinsichtlich der </w:t>
      </w:r>
      <w:r w:rsidR="00D7783C">
        <w:t>Maßnahmen</w:t>
      </w:r>
      <w:r w:rsidR="004043E4">
        <w:t xml:space="preserve"> ist, </w:t>
      </w:r>
      <w:r w:rsidR="00D7783C">
        <w:t>mit denen die Anrainerstaaten Deutschland</w:t>
      </w:r>
      <w:r w:rsidR="0008319E">
        <w:t>s</w:t>
      </w:r>
      <w:r w:rsidR="00D7783C">
        <w:t xml:space="preserve"> auf die</w:t>
      </w:r>
      <w:r w:rsidR="00C01A7E">
        <w:t xml:space="preserve"> Flüchtlings</w:t>
      </w:r>
      <w:r w:rsidR="00D7783C">
        <w:t>bewegung reagieren: Sie greifen zu</w:t>
      </w:r>
      <w:r w:rsidR="00D7783C" w:rsidRPr="00D7783C">
        <w:t xml:space="preserve"> </w:t>
      </w:r>
      <w:r w:rsidR="00D7783C">
        <w:t>ähnl</w:t>
      </w:r>
      <w:r w:rsidR="00D7783C">
        <w:t>i</w:t>
      </w:r>
      <w:r w:rsidR="00D7783C">
        <w:t xml:space="preserve">chen Maßnahmen wie das Dritte Reich. Sie reagieren </w:t>
      </w:r>
      <w:r w:rsidR="008C3582">
        <w:t xml:space="preserve">mit </w:t>
      </w:r>
      <w:r>
        <w:t xml:space="preserve">verschärften </w:t>
      </w:r>
      <w:r w:rsidR="008C3582">
        <w:t>Grenzkontrollen bzw. mit Ausweisungen und Abschiebungen.</w:t>
      </w:r>
      <w:r w:rsidR="00D7783C">
        <w:t xml:space="preserve"> </w:t>
      </w:r>
      <w:r w:rsidR="008C3582">
        <w:t>Schweden und die Schweiz</w:t>
      </w:r>
      <w:r w:rsidR="008C3582">
        <w:rPr>
          <w:rStyle w:val="Funotenzeichen"/>
        </w:rPr>
        <w:footnoteReference w:id="7"/>
      </w:r>
      <w:r w:rsidR="008C3582">
        <w:t xml:space="preserve"> werden </w:t>
      </w:r>
      <w:r w:rsidR="00D7783C">
        <w:t>schließlich</w:t>
      </w:r>
      <w:r w:rsidR="0024647F">
        <w:t xml:space="preserve"> in dem Sinne </w:t>
      </w:r>
      <w:r w:rsidR="008C3582">
        <w:t>gegenüber Deutschland</w:t>
      </w:r>
      <w:r w:rsidR="0061554E">
        <w:t xml:space="preserve"> </w:t>
      </w:r>
      <w:r w:rsidR="008C3582">
        <w:t>vorstellig, dass sie auf die Separierung der „jüdischen“ von der „politischen“ Emigration drängen. D</w:t>
      </w:r>
      <w:r>
        <w:t xml:space="preserve">iese Intervention </w:t>
      </w:r>
      <w:r w:rsidR="008C3582">
        <w:t xml:space="preserve">hat </w:t>
      </w:r>
      <w:r>
        <w:t xml:space="preserve">bekanntlich </w:t>
      </w:r>
      <w:r w:rsidR="008C3582">
        <w:t xml:space="preserve">zur Folge, dass </w:t>
      </w:r>
      <w:r w:rsidR="0024647F">
        <w:t xml:space="preserve">Deutschland </w:t>
      </w:r>
      <w:r w:rsidR="008C3582">
        <w:t>die Pässe der jüdischen Bürger mit dem ominösen „J“ kennzeichnet, so dass j</w:t>
      </w:r>
      <w:r w:rsidR="008C3582">
        <w:t>ü</w:t>
      </w:r>
      <w:r w:rsidR="008C3582">
        <w:t xml:space="preserve">dische Flüchtlinge beim Grenzübertritt umgehend zurückgewiesen werden. </w:t>
      </w:r>
    </w:p>
    <w:p w:rsidR="00E53256" w:rsidRDefault="00D7783C" w:rsidP="008B7447">
      <w:pPr>
        <w:spacing w:after="0"/>
        <w:ind w:firstLine="708"/>
        <w:jc w:val="both"/>
      </w:pPr>
      <w:r>
        <w:lastRenderedPageBreak/>
        <w:t xml:space="preserve">Insbesondere an der Schweizerischen Asylpolitik wird in dieser Phase erkennbar, dass, wie </w:t>
      </w:r>
      <w:proofErr w:type="spellStart"/>
      <w:r>
        <w:t>Ika</w:t>
      </w:r>
      <w:proofErr w:type="spellEnd"/>
      <w:r>
        <w:t xml:space="preserve"> und Rudolf </w:t>
      </w:r>
      <w:proofErr w:type="spellStart"/>
      <w:r>
        <w:t>Olden</w:t>
      </w:r>
      <w:proofErr w:type="spellEnd"/>
      <w:r>
        <w:t xml:space="preserve"> es prognostizieren,</w:t>
      </w:r>
      <w:r w:rsidR="00F45006">
        <w:t xml:space="preserve"> </w:t>
      </w:r>
      <w:r w:rsidR="008C3582">
        <w:t>aus „Fremden von Distinktion“</w:t>
      </w:r>
      <w:r>
        <w:t xml:space="preserve"> – gern geseh</w:t>
      </w:r>
      <w:r>
        <w:t>e</w:t>
      </w:r>
      <w:r>
        <w:t>nen Gästen des Beherbergungsgewerbes – e</w:t>
      </w:r>
      <w:r w:rsidR="00026592">
        <w:t xml:space="preserve">ndgültig </w:t>
      </w:r>
      <w:r w:rsidR="008C3582">
        <w:t>„unerwünschte Ausländer“</w:t>
      </w:r>
      <w:r w:rsidR="00026592">
        <w:t xml:space="preserve"> geworden</w:t>
      </w:r>
      <w:r>
        <w:t xml:space="preserve"> sind</w:t>
      </w:r>
      <w:r w:rsidR="008C3582">
        <w:t xml:space="preserve">, die </w:t>
      </w:r>
      <w:r>
        <w:t>an der Grenze zurückgewiesen und abgeschoben oder, wenn es ihnen wider Erwarten geglückt ist, die Grenze zu überschreiten, an die Grenze zurückgebracht</w:t>
      </w:r>
      <w:r w:rsidR="00026592">
        <w:t xml:space="preserve"> und damit den Ve</w:t>
      </w:r>
      <w:r w:rsidR="00026592">
        <w:t>r</w:t>
      </w:r>
      <w:r w:rsidR="00026592">
        <w:t>folgern</w:t>
      </w:r>
      <w:r w:rsidR="00FF281D">
        <w:t xml:space="preserve"> </w:t>
      </w:r>
      <w:r w:rsidR="00026592">
        <w:t>aus</w:t>
      </w:r>
      <w:r>
        <w:t>ge</w:t>
      </w:r>
      <w:r w:rsidR="00026592">
        <w:t>liefert</w:t>
      </w:r>
      <w:r>
        <w:t xml:space="preserve"> werden</w:t>
      </w:r>
      <w:r w:rsidR="00026592">
        <w:t>.</w:t>
      </w:r>
    </w:p>
    <w:p w:rsidR="00627D4D" w:rsidRDefault="001954B5" w:rsidP="008B7447">
      <w:pPr>
        <w:spacing w:after="0"/>
        <w:ind w:firstLine="708"/>
        <w:jc w:val="both"/>
      </w:pPr>
      <w:r>
        <w:t>A</w:t>
      </w:r>
      <w:r w:rsidR="0008319E">
        <w:t>n</w:t>
      </w:r>
      <w:r>
        <w:t xml:space="preserve"> die Prognose</w:t>
      </w:r>
      <w:r w:rsidR="001B6FA4">
        <w:t xml:space="preserve"> </w:t>
      </w:r>
      <w:r w:rsidR="0008319E">
        <w:t>schließen sich statistische A</w:t>
      </w:r>
      <w:r w:rsidR="004C5B51">
        <w:t>ngaben</w:t>
      </w:r>
      <w:r w:rsidR="0008319E">
        <w:t xml:space="preserve"> an</w:t>
      </w:r>
      <w:r w:rsidR="004C5B51">
        <w:t>:</w:t>
      </w:r>
    </w:p>
    <w:p w:rsidR="004C5B51" w:rsidRDefault="004C5B51" w:rsidP="008B7447">
      <w:pPr>
        <w:spacing w:after="0"/>
        <w:ind w:left="1134"/>
        <w:jc w:val="both"/>
      </w:pPr>
      <w:r>
        <w:t>„Es sind 60 000 Männer, Frauen und Kinder aus Deutschland geflohen.</w:t>
      </w:r>
    </w:p>
    <w:p w:rsidR="004C5B51" w:rsidRDefault="004C5B51" w:rsidP="008B7447">
      <w:pPr>
        <w:spacing w:after="0"/>
        <w:ind w:left="1134"/>
        <w:jc w:val="both"/>
      </w:pPr>
      <w:r>
        <w:t>Davon sind 51 000 oder 86 % Juden.</w:t>
      </w:r>
    </w:p>
    <w:p w:rsidR="00561B9F" w:rsidRPr="00A56EF3" w:rsidRDefault="004C5B51" w:rsidP="008B7447">
      <w:pPr>
        <w:spacing w:after="0"/>
        <w:ind w:left="1134"/>
        <w:jc w:val="both"/>
      </w:pPr>
      <w:r>
        <w:t xml:space="preserve">16 000 von den Flüchtlingen besitzen nicht die deutsche Staatsangehörigkeit, sie haben meist polnische Pässe oder sind staatenlos. Von ihnen aber wurden wieder die meisten in Deutschland geboren, sind also deutsch der Schule und Sprache nach. Nur, </w:t>
      </w:r>
      <w:proofErr w:type="spellStart"/>
      <w:r>
        <w:t>daß</w:t>
      </w:r>
      <w:proofErr w:type="spellEnd"/>
      <w:r>
        <w:t xml:space="preserve"> die deutsche Republik ihnen die Einbürgerung verweigerte.“</w:t>
      </w:r>
      <w:r>
        <w:rPr>
          <w:rStyle w:val="Funotenzeichen"/>
        </w:rPr>
        <w:footnoteReference w:id="8"/>
      </w:r>
      <w:r>
        <w:t xml:space="preserve"> </w:t>
      </w:r>
    </w:p>
    <w:p w:rsidR="00482AB2" w:rsidRDefault="00026592" w:rsidP="008B7447">
      <w:pPr>
        <w:spacing w:after="0"/>
        <w:jc w:val="both"/>
      </w:pPr>
      <w:r>
        <w:t>Mit diesen</w:t>
      </w:r>
      <w:r w:rsidR="00482AB2">
        <w:t xml:space="preserve"> Angaben</w:t>
      </w:r>
      <w:r>
        <w:t xml:space="preserve"> unter</w:t>
      </w:r>
      <w:r w:rsidR="000410B9">
        <w:t>mauer</w:t>
      </w:r>
      <w:r>
        <w:t xml:space="preserve">n </w:t>
      </w:r>
      <w:proofErr w:type="spellStart"/>
      <w:r>
        <w:t>Ika</w:t>
      </w:r>
      <w:proofErr w:type="spellEnd"/>
      <w:r>
        <w:t xml:space="preserve"> und Rudolf</w:t>
      </w:r>
      <w:r w:rsidR="00482AB2">
        <w:t xml:space="preserve"> </w:t>
      </w:r>
      <w:proofErr w:type="spellStart"/>
      <w:r w:rsidR="00482AB2">
        <w:t>Olden</w:t>
      </w:r>
      <w:proofErr w:type="spellEnd"/>
      <w:r w:rsidR="00482AB2">
        <w:t xml:space="preserve"> </w:t>
      </w:r>
      <w:r>
        <w:t xml:space="preserve">ihre Feststellung, </w:t>
      </w:r>
      <w:r w:rsidR="00482AB2">
        <w:t>dass die deutsc</w:t>
      </w:r>
      <w:r w:rsidR="00482AB2">
        <w:t>h</w:t>
      </w:r>
      <w:r w:rsidR="00482AB2">
        <w:t xml:space="preserve">sprachige Emigration nach 1933 </w:t>
      </w:r>
      <w:r w:rsidR="000410B9">
        <w:t xml:space="preserve">eine </w:t>
      </w:r>
      <w:r w:rsidR="00482AB2">
        <w:t xml:space="preserve">zum überwiegenden Teil </w:t>
      </w:r>
      <w:r w:rsidR="00482AB2" w:rsidRPr="00026592">
        <w:rPr>
          <w:i/>
        </w:rPr>
        <w:t>jüdische</w:t>
      </w:r>
      <w:r w:rsidR="00482AB2">
        <w:t xml:space="preserve"> Emigration ist. </w:t>
      </w:r>
      <w:r>
        <w:t>Sie</w:t>
      </w:r>
      <w:r w:rsidR="00893ABE">
        <w:t xml:space="preserve"> orientier</w:t>
      </w:r>
      <w:r w:rsidR="00482AB2">
        <w:t>en</w:t>
      </w:r>
      <w:r w:rsidR="00893ABE">
        <w:t xml:space="preserve"> sich</w:t>
      </w:r>
      <w:r w:rsidR="006E0183">
        <w:t xml:space="preserve"> </w:t>
      </w:r>
      <w:r w:rsidR="00482AB2">
        <w:t>bewusst</w:t>
      </w:r>
      <w:r w:rsidR="00893ABE">
        <w:t xml:space="preserve"> </w:t>
      </w:r>
      <w:r w:rsidR="00893ABE" w:rsidRPr="00240BAD">
        <w:rPr>
          <w:i/>
        </w:rPr>
        <w:t xml:space="preserve">nicht </w:t>
      </w:r>
      <w:r w:rsidR="00893ABE">
        <w:t xml:space="preserve">am formalen </w:t>
      </w:r>
      <w:r w:rsidR="00482AB2">
        <w:t>Status</w:t>
      </w:r>
      <w:r w:rsidR="00893ABE">
        <w:t xml:space="preserve"> der </w:t>
      </w:r>
      <w:r w:rsidR="00482AB2">
        <w:t xml:space="preserve">Flüchtlinge: </w:t>
      </w:r>
      <w:r w:rsidR="000410B9">
        <w:t xml:space="preserve">also </w:t>
      </w:r>
      <w:r>
        <w:t>an der</w:t>
      </w:r>
      <w:r w:rsidR="00482AB2">
        <w:t xml:space="preserve"> </w:t>
      </w:r>
      <w:r w:rsidR="000410B9">
        <w:t>polnischen</w:t>
      </w:r>
      <w:r w:rsidR="0008319E">
        <w:t>,</w:t>
      </w:r>
      <w:r w:rsidR="000410B9">
        <w:t xml:space="preserve"> der deutschen </w:t>
      </w:r>
      <w:r w:rsidR="00893ABE" w:rsidRPr="002878D9">
        <w:t>Staatsangehörigkeit</w:t>
      </w:r>
      <w:r w:rsidR="00625E01">
        <w:t xml:space="preserve"> bzw. der </w:t>
      </w:r>
      <w:r w:rsidR="00625E01">
        <w:rPr>
          <w:i/>
        </w:rPr>
        <w:t>fehlenden</w:t>
      </w:r>
      <w:r w:rsidR="00625E01">
        <w:t xml:space="preserve"> Staatsangehörigkeit</w:t>
      </w:r>
      <w:r w:rsidR="00893ABE">
        <w:t xml:space="preserve">, sondern </w:t>
      </w:r>
      <w:r w:rsidR="006E0183">
        <w:t xml:space="preserve">am </w:t>
      </w:r>
      <w:r w:rsidR="006E0183" w:rsidRPr="002878D9">
        <w:rPr>
          <w:i/>
        </w:rPr>
        <w:t>Flüch</w:t>
      </w:r>
      <w:r w:rsidR="006E0183" w:rsidRPr="002878D9">
        <w:rPr>
          <w:i/>
        </w:rPr>
        <w:t>t</w:t>
      </w:r>
      <w:r w:rsidR="006E0183" w:rsidRPr="002878D9">
        <w:rPr>
          <w:i/>
        </w:rPr>
        <w:t>lingsstatus</w:t>
      </w:r>
      <w:r w:rsidR="006E0183">
        <w:t xml:space="preserve"> </w:t>
      </w:r>
      <w:r w:rsidR="00682C77">
        <w:t>der Betroffenen</w:t>
      </w:r>
      <w:r w:rsidR="00482AB2">
        <w:t>.</w:t>
      </w:r>
      <w:r w:rsidR="00682C77">
        <w:t xml:space="preserve"> </w:t>
      </w:r>
      <w:r w:rsidR="00482AB2">
        <w:t>S</w:t>
      </w:r>
      <w:r w:rsidR="00682C77">
        <w:t xml:space="preserve">ie </w:t>
      </w:r>
      <w:r w:rsidR="001B6FA4">
        <w:t>beziehen</w:t>
      </w:r>
      <w:r w:rsidR="00117783">
        <w:t xml:space="preserve"> </w:t>
      </w:r>
      <w:r w:rsidR="000410B9">
        <w:t xml:space="preserve">also </w:t>
      </w:r>
      <w:r w:rsidR="00893ABE">
        <w:t>die staatenlosen Flüchtlinge und die</w:t>
      </w:r>
      <w:r w:rsidR="001B6FA4">
        <w:t>jenigen</w:t>
      </w:r>
      <w:r w:rsidR="00893ABE">
        <w:t xml:space="preserve"> </w:t>
      </w:r>
      <w:r w:rsidR="0008319E">
        <w:t>mit anderen als deutschen</w:t>
      </w:r>
      <w:r w:rsidR="00893ABE">
        <w:t xml:space="preserve"> Pässen </w:t>
      </w:r>
      <w:r w:rsidR="001B6FA4">
        <w:t>in die</w:t>
      </w:r>
      <w:r w:rsidR="00893ABE">
        <w:t xml:space="preserve"> Gesamtheit der Emigration </w:t>
      </w:r>
      <w:r w:rsidR="001B6FA4">
        <w:t>ein</w:t>
      </w:r>
      <w:r w:rsidR="00893ABE">
        <w:t>.</w:t>
      </w:r>
      <w:r w:rsidR="001B6FA4">
        <w:t xml:space="preserve"> </w:t>
      </w:r>
    </w:p>
    <w:p w:rsidR="00893ABE" w:rsidRDefault="001B6FA4" w:rsidP="008B7447">
      <w:pPr>
        <w:spacing w:after="0"/>
        <w:ind w:firstLine="708"/>
        <w:jc w:val="both"/>
      </w:pPr>
      <w:r>
        <w:t xml:space="preserve">Das Ziel, das </w:t>
      </w:r>
      <w:proofErr w:type="spellStart"/>
      <w:r w:rsidR="001954B5">
        <w:t>Ika</w:t>
      </w:r>
      <w:proofErr w:type="spellEnd"/>
      <w:r w:rsidR="001954B5">
        <w:t xml:space="preserve"> und Rudolf </w:t>
      </w:r>
      <w:proofErr w:type="spellStart"/>
      <w:r w:rsidR="001954B5">
        <w:t>Olden</w:t>
      </w:r>
      <w:proofErr w:type="spellEnd"/>
      <w:r>
        <w:t xml:space="preserve"> mit</w:t>
      </w:r>
      <w:r w:rsidR="00482AB2">
        <w:t xml:space="preserve"> diese</w:t>
      </w:r>
      <w:r w:rsidR="00625E01">
        <w:t>r</w:t>
      </w:r>
      <w:r w:rsidR="00482AB2">
        <w:t xml:space="preserve"> Statistik</w:t>
      </w:r>
      <w:r>
        <w:t xml:space="preserve"> verfolgen, </w:t>
      </w:r>
      <w:r w:rsidR="006E1A82">
        <w:t>liegt auf der Hand</w:t>
      </w:r>
      <w:r w:rsidR="00625E01">
        <w:t>.</w:t>
      </w:r>
      <w:r>
        <w:t xml:space="preserve"> </w:t>
      </w:r>
      <w:r w:rsidR="00482AB2">
        <w:t>Um zu verhindern, dass d</w:t>
      </w:r>
      <w:r>
        <w:t>ie Nachbarstaaten Deutschlands</w:t>
      </w:r>
      <w:r w:rsidR="00482AB2">
        <w:t xml:space="preserve"> die Gesamtgruppe </w:t>
      </w:r>
      <w:r w:rsidR="00625E01">
        <w:t xml:space="preserve">der Flüchtlinge </w:t>
      </w:r>
      <w:r w:rsidR="00482AB2">
        <w:t xml:space="preserve">in </w:t>
      </w:r>
      <w:r w:rsidR="00DE13F1">
        <w:t>Einzelgruppen aufteil</w:t>
      </w:r>
      <w:r w:rsidR="00482AB2">
        <w:t xml:space="preserve">en und </w:t>
      </w:r>
      <w:r w:rsidR="00DE13F1">
        <w:t>sich</w:t>
      </w:r>
      <w:r w:rsidR="00482AB2">
        <w:t xml:space="preserve"> </w:t>
      </w:r>
      <w:r w:rsidR="00DE13F1">
        <w:t xml:space="preserve">damit </w:t>
      </w:r>
      <w:r w:rsidR="006E1A82">
        <w:t>gegenüber</w:t>
      </w:r>
      <w:r w:rsidR="00625E01">
        <w:t xml:space="preserve"> </w:t>
      </w:r>
      <w:r w:rsidR="000410B9">
        <w:t>missliebige</w:t>
      </w:r>
      <w:r w:rsidR="006E1A82">
        <w:t>n</w:t>
      </w:r>
      <w:r w:rsidR="000410B9">
        <w:t xml:space="preserve"> </w:t>
      </w:r>
      <w:r w:rsidR="00482AB2">
        <w:t xml:space="preserve">Teilgruppen wie </w:t>
      </w:r>
      <w:r w:rsidR="00240BAD">
        <w:t>d</w:t>
      </w:r>
      <w:r w:rsidR="00625E01">
        <w:t>e</w:t>
      </w:r>
      <w:r w:rsidR="006E1A82">
        <w:t>n</w:t>
      </w:r>
      <w:r w:rsidR="00240BAD">
        <w:t xml:space="preserve"> sta</w:t>
      </w:r>
      <w:r w:rsidR="00240BAD">
        <w:t>a</w:t>
      </w:r>
      <w:r w:rsidR="00240BAD">
        <w:t xml:space="preserve">tenlosen Flüchtlinge </w:t>
      </w:r>
      <w:r w:rsidR="006E1A82">
        <w:t>für</w:t>
      </w:r>
      <w:r w:rsidR="00DE13F1">
        <w:t xml:space="preserve"> nicht zuständig erklären</w:t>
      </w:r>
      <w:r w:rsidR="000410B9">
        <w:t xml:space="preserve"> bzw. ihrerseits damit beginnen, jüdischen Verfolgten die Staatsbürgerschaft abzuerkennen</w:t>
      </w:r>
      <w:r w:rsidR="00240BAD">
        <w:t>,</w:t>
      </w:r>
      <w:r w:rsidR="0061554E">
        <w:rPr>
          <w:rStyle w:val="Funotenzeichen"/>
        </w:rPr>
        <w:footnoteReference w:id="9"/>
      </w:r>
      <w:r w:rsidR="00240BAD">
        <w:t xml:space="preserve"> soll das </w:t>
      </w:r>
      <w:r w:rsidR="00240BAD" w:rsidRPr="00625E01">
        <w:rPr>
          <w:i/>
        </w:rPr>
        <w:t>Gesamtphänomen</w:t>
      </w:r>
      <w:r w:rsidR="00240BAD">
        <w:t>, mit dem die Aufnahmeländer politisch wie finanziell konfrontiert sind, ins Bewusstsein gehoben werden.</w:t>
      </w:r>
      <w:r w:rsidR="00F7210F">
        <w:t xml:space="preserve"> Erst dann ist eine Lösung möglich.</w:t>
      </w:r>
      <w:r w:rsidR="00240BAD">
        <w:t xml:space="preserve"> </w:t>
      </w:r>
      <w:r w:rsidR="00F7210F">
        <w:t xml:space="preserve">Geht man anders vor, </w:t>
      </w:r>
      <w:r w:rsidR="00240BAD">
        <w:t>w</w:t>
      </w:r>
      <w:r w:rsidR="006A63A8">
        <w:t>ü</w:t>
      </w:r>
      <w:r w:rsidR="00240BAD">
        <w:t>rd</w:t>
      </w:r>
      <w:r w:rsidR="006A63A8">
        <w:t>e</w:t>
      </w:r>
      <w:r w:rsidR="00240BAD">
        <w:t xml:space="preserve"> </w:t>
      </w:r>
      <w:r w:rsidR="00F7210F">
        <w:t xml:space="preserve">weder </w:t>
      </w:r>
      <w:r w:rsidR="00240BAD">
        <w:t xml:space="preserve">das Ursprungsland der Fluchtbewegung: das Dritte Reich, zur Verantwortung gezogen – das wäre </w:t>
      </w:r>
      <w:r w:rsidR="004C182D">
        <w:t>allenfalls</w:t>
      </w:r>
      <w:r w:rsidR="00240BAD">
        <w:t xml:space="preserve"> </w:t>
      </w:r>
      <w:r w:rsidR="00C01A7E">
        <w:t>unter dem Druck</w:t>
      </w:r>
      <w:r w:rsidR="00240BAD">
        <w:t xml:space="preserve"> kollektiven Vorgehens möglich –, </w:t>
      </w:r>
      <w:r w:rsidR="006A63A8">
        <w:t xml:space="preserve">noch würden </w:t>
      </w:r>
      <w:r w:rsidR="00C01A7E">
        <w:t xml:space="preserve">die </w:t>
      </w:r>
      <w:r w:rsidR="004C182D">
        <w:t>notwendig</w:t>
      </w:r>
      <w:r w:rsidR="00C01A7E">
        <w:t>en</w:t>
      </w:r>
      <w:r w:rsidR="006A63A8">
        <w:t xml:space="preserve"> Entscheidungen über </w:t>
      </w:r>
      <w:r w:rsidR="004C182D">
        <w:t>ein</w:t>
      </w:r>
      <w:r w:rsidR="00C01A7E">
        <w:t xml:space="preserve">e </w:t>
      </w:r>
      <w:r w:rsidR="00C01A7E" w:rsidRPr="004C182D">
        <w:rPr>
          <w:i/>
        </w:rPr>
        <w:t>Verteilung</w:t>
      </w:r>
      <w:r w:rsidR="006A63A8">
        <w:t xml:space="preserve"> der Flüchtlinge getroffen. Ein Verstoß gegen elementare Gebote der Humanität wäre die zwangsläufige Folge. – Genau in dieser </w:t>
      </w:r>
      <w:r w:rsidR="004C182D">
        <w:t xml:space="preserve">verhängnisvollen </w:t>
      </w:r>
      <w:r w:rsidR="006A63A8">
        <w:t>Weise entw</w:t>
      </w:r>
      <w:r w:rsidR="006A63A8">
        <w:t>i</w:t>
      </w:r>
      <w:r w:rsidR="006A63A8">
        <w:t xml:space="preserve">ckelte sich </w:t>
      </w:r>
      <w:r w:rsidR="004C182D">
        <w:t>das Geschehen dann tatsächlich</w:t>
      </w:r>
      <w:r w:rsidR="006A63A8">
        <w:t>.</w:t>
      </w:r>
    </w:p>
    <w:p w:rsidR="00682C77" w:rsidRDefault="00682C77" w:rsidP="008B7447">
      <w:pPr>
        <w:spacing w:after="0"/>
        <w:jc w:val="both"/>
      </w:pPr>
    </w:p>
    <w:p w:rsidR="00FE5283" w:rsidRDefault="0086690D" w:rsidP="008B7447">
      <w:pPr>
        <w:spacing w:after="0"/>
        <w:ind w:firstLine="708"/>
        <w:jc w:val="both"/>
      </w:pPr>
      <w:r>
        <w:t xml:space="preserve">Rudolf und </w:t>
      </w:r>
      <w:proofErr w:type="spellStart"/>
      <w:r>
        <w:t>Ika</w:t>
      </w:r>
      <w:proofErr w:type="spellEnd"/>
      <w:r>
        <w:t xml:space="preserve"> </w:t>
      </w:r>
      <w:proofErr w:type="spellStart"/>
      <w:r>
        <w:t>Olden</w:t>
      </w:r>
      <w:proofErr w:type="spellEnd"/>
      <w:r>
        <w:t xml:space="preserve"> sprechen</w:t>
      </w:r>
      <w:r w:rsidR="00893ABE">
        <w:t xml:space="preserve"> </w:t>
      </w:r>
      <w:r w:rsidR="00AE05E9">
        <w:t xml:space="preserve">in weiten Teilen ihres Berichtes </w:t>
      </w:r>
      <w:r w:rsidR="006A63A8">
        <w:t>ausschließlich</w:t>
      </w:r>
      <w:r w:rsidR="00CA6C9F">
        <w:t xml:space="preserve"> über die </w:t>
      </w:r>
      <w:r w:rsidR="00893ABE">
        <w:t>jüdische Emigration</w:t>
      </w:r>
      <w:r>
        <w:t>.</w:t>
      </w:r>
      <w:r w:rsidR="00893ABE">
        <w:t xml:space="preserve"> </w:t>
      </w:r>
      <w:r w:rsidR="004C182D">
        <w:t>Ihr Ausgangspunkt ist dabei</w:t>
      </w:r>
      <w:r w:rsidR="00AE05E9">
        <w:t xml:space="preserve">, dass </w:t>
      </w:r>
      <w:r w:rsidR="006A63A8">
        <w:t>die politische Emigration bei den Aufnahmestaaten</w:t>
      </w:r>
      <w:r w:rsidR="006A63A8" w:rsidRPr="006A63A8">
        <w:t xml:space="preserve"> </w:t>
      </w:r>
      <w:r w:rsidR="006A63A8">
        <w:t>in der Regel auf Verständnis und Aufnahmebereitschaft stößt, die jüdische Emigration</w:t>
      </w:r>
      <w:r w:rsidR="004C182D">
        <w:t xml:space="preserve"> dagegen auf Ablehnung</w:t>
      </w:r>
      <w:r w:rsidR="006A63A8">
        <w:t xml:space="preserve">. </w:t>
      </w:r>
      <w:r w:rsidR="00AE05E9" w:rsidRPr="004C182D">
        <w:rPr>
          <w:i/>
        </w:rPr>
        <w:t>Sie w</w:t>
      </w:r>
      <w:r w:rsidR="00863AB2" w:rsidRPr="004C182D">
        <w:rPr>
          <w:i/>
        </w:rPr>
        <w:t>ird</w:t>
      </w:r>
      <w:r w:rsidR="00AE05E9" w:rsidRPr="004C182D">
        <w:rPr>
          <w:i/>
        </w:rPr>
        <w:t xml:space="preserve"> als störend</w:t>
      </w:r>
      <w:r w:rsidR="00CA6C9F" w:rsidRPr="004C182D">
        <w:rPr>
          <w:i/>
        </w:rPr>
        <w:t xml:space="preserve"> empfunden</w:t>
      </w:r>
      <w:r w:rsidR="00CA6C9F">
        <w:t xml:space="preserve">. </w:t>
      </w:r>
      <w:r w:rsidR="004C182D">
        <w:t>Schuld ist die allgeme</w:t>
      </w:r>
      <w:r w:rsidR="004C182D">
        <w:t>i</w:t>
      </w:r>
      <w:r w:rsidR="004C182D">
        <w:t>ne politische Entwicklung, die</w:t>
      </w:r>
      <w:r w:rsidR="001C5570">
        <w:t xml:space="preserve"> generell</w:t>
      </w:r>
      <w:r w:rsidR="004C182D">
        <w:t xml:space="preserve"> </w:t>
      </w:r>
      <w:r w:rsidR="001C5570">
        <w:t>„</w:t>
      </w:r>
      <w:r w:rsidR="004C182D">
        <w:t>Menschen</w:t>
      </w:r>
      <w:r w:rsidR="001C5570">
        <w:t>“</w:t>
      </w:r>
      <w:r w:rsidR="004C182D">
        <w:t xml:space="preserve"> </w:t>
      </w:r>
      <w:r w:rsidR="00C0316F">
        <w:t xml:space="preserve">– ähnlich wie </w:t>
      </w:r>
      <w:r w:rsidR="001C5570">
        <w:t>wirtschaftliche Produkte</w:t>
      </w:r>
      <w:r w:rsidR="00C0316F">
        <w:t>, die keinen Käufer finden – z</w:t>
      </w:r>
      <w:r w:rsidR="004C182D">
        <w:t xml:space="preserve">um </w:t>
      </w:r>
      <w:r w:rsidR="00AE05E9">
        <w:t>„Überflu</w:t>
      </w:r>
      <w:r w:rsidR="006A00F2">
        <w:t>ss</w:t>
      </w:r>
      <w:r w:rsidR="00AE05E9">
        <w:t xml:space="preserve"> in der Welt“ </w:t>
      </w:r>
      <w:r w:rsidR="004C182D">
        <w:t>werden lässt</w:t>
      </w:r>
      <w:r w:rsidR="00893ABE">
        <w:t>:</w:t>
      </w:r>
    </w:p>
    <w:p w:rsidR="00893ABE" w:rsidRDefault="00893ABE" w:rsidP="008B7447">
      <w:pPr>
        <w:spacing w:after="0"/>
        <w:ind w:left="1134"/>
        <w:jc w:val="both"/>
      </w:pPr>
      <w:r>
        <w:t>„Aber die zehntausend oder fünfzehntausend deutschen Emigranten, die aus pol</w:t>
      </w:r>
      <w:r>
        <w:t>i</w:t>
      </w:r>
      <w:r>
        <w:t xml:space="preserve">tischen Gründen fliehen </w:t>
      </w:r>
      <w:proofErr w:type="spellStart"/>
      <w:r>
        <w:t>mußten</w:t>
      </w:r>
      <w:proofErr w:type="spellEnd"/>
      <w:r>
        <w:t>, hätten nirgends eine Verlegenheit bedeutet – w</w:t>
      </w:r>
      <w:r>
        <w:t>ä</w:t>
      </w:r>
      <w:r>
        <w:t xml:space="preserve">ren nicht eben Menschen zum </w:t>
      </w:r>
      <w:proofErr w:type="spellStart"/>
      <w:r>
        <w:t>Überfluß</w:t>
      </w:r>
      <w:proofErr w:type="spellEnd"/>
      <w:r>
        <w:t xml:space="preserve"> in der Welt geworden.“</w:t>
      </w:r>
      <w:r>
        <w:rPr>
          <w:rStyle w:val="Funotenzeichen"/>
        </w:rPr>
        <w:footnoteReference w:id="10"/>
      </w:r>
      <w:r>
        <w:t xml:space="preserve"> </w:t>
      </w:r>
    </w:p>
    <w:p w:rsidR="00893ABE" w:rsidRDefault="0086690D" w:rsidP="008B7447">
      <w:pPr>
        <w:spacing w:after="0"/>
        <w:jc w:val="both"/>
      </w:pPr>
      <w:r>
        <w:lastRenderedPageBreak/>
        <w:t>Es ist eine zurückhaltende, aber genau auf die politischen und sozialen Gegebenheiten ziele</w:t>
      </w:r>
      <w:r>
        <w:t>n</w:t>
      </w:r>
      <w:r>
        <w:t xml:space="preserve">de Formulierung. </w:t>
      </w:r>
      <w:r w:rsidR="00AE05E9">
        <w:t>Auch hier zeigt die Entwicklung der Flüchtlingspolitik sowohl der europä</w:t>
      </w:r>
      <w:r w:rsidR="00AE05E9">
        <w:t>i</w:t>
      </w:r>
      <w:r w:rsidR="00AE05E9">
        <w:t xml:space="preserve">schen als auch der außereuropäischen Staaten, dass </w:t>
      </w:r>
      <w:proofErr w:type="spellStart"/>
      <w:r w:rsidR="00AE05E9">
        <w:t>Ika</w:t>
      </w:r>
      <w:proofErr w:type="spellEnd"/>
      <w:r w:rsidR="00AE05E9">
        <w:t xml:space="preserve"> und Rudolf </w:t>
      </w:r>
      <w:proofErr w:type="spellStart"/>
      <w:r w:rsidR="00AE05E9">
        <w:t>Olden</w:t>
      </w:r>
      <w:proofErr w:type="spellEnd"/>
      <w:r w:rsidR="00AE05E9">
        <w:t xml:space="preserve"> mit ihrer Einschä</w:t>
      </w:r>
      <w:r w:rsidR="00AE05E9">
        <w:t>t</w:t>
      </w:r>
      <w:r w:rsidR="00AE05E9">
        <w:t>zung recht ha</w:t>
      </w:r>
      <w:r w:rsidR="00CA6C9F">
        <w:t>b</w:t>
      </w:r>
      <w:r w:rsidR="00AE05E9">
        <w:t xml:space="preserve">en. </w:t>
      </w:r>
      <w:r w:rsidR="00A3641E">
        <w:t xml:space="preserve">– Eine sarkastische </w:t>
      </w:r>
      <w:r>
        <w:t>Randb</w:t>
      </w:r>
      <w:r w:rsidR="00A3641E">
        <w:t>emerkung trifft die Sowjetunion und ihre Fürso</w:t>
      </w:r>
      <w:r w:rsidR="00A3641E">
        <w:t>r</w:t>
      </w:r>
      <w:r w:rsidR="00A3641E">
        <w:t>ge für die „proletarische Emigration“:</w:t>
      </w:r>
    </w:p>
    <w:p w:rsidR="00A3641E" w:rsidRDefault="00A3641E" w:rsidP="008B7447">
      <w:pPr>
        <w:spacing w:after="0"/>
        <w:ind w:left="1134"/>
        <w:jc w:val="both"/>
      </w:pPr>
      <w:r>
        <w:t xml:space="preserve">„Was die proletarische Emigration angeht, so scheint die russische Regierung auf dem Standpunkt zu stehen, </w:t>
      </w:r>
      <w:proofErr w:type="spellStart"/>
      <w:r>
        <w:t>daß</w:t>
      </w:r>
      <w:proofErr w:type="spellEnd"/>
      <w:r>
        <w:t xml:space="preserve"> die revolutionären Pflichten, die in Deutschland zu erfüllen sind, dem Bedürfnis nach Sicherheit vorgehen.“</w:t>
      </w:r>
      <w:r>
        <w:rPr>
          <w:rStyle w:val="Funotenzeichen"/>
        </w:rPr>
        <w:footnoteReference w:id="11"/>
      </w:r>
    </w:p>
    <w:p w:rsidR="00053A76" w:rsidRDefault="001E6E9F" w:rsidP="008B7447">
      <w:pPr>
        <w:spacing w:after="0"/>
        <w:jc w:val="both"/>
      </w:pPr>
      <w:r>
        <w:t>D</w:t>
      </w:r>
      <w:r w:rsidR="00863AB2">
        <w:t xml:space="preserve">amit spricht </w:t>
      </w:r>
      <w:proofErr w:type="spellStart"/>
      <w:r w:rsidR="00863AB2">
        <w:t>Olden</w:t>
      </w:r>
      <w:proofErr w:type="spellEnd"/>
      <w:r w:rsidR="00863AB2">
        <w:t xml:space="preserve"> das Faktum an, dass KPD-Mitglieder vor ihrer Emigration erst eine en</w:t>
      </w:r>
      <w:r w:rsidR="00863AB2">
        <w:t>t</w:t>
      </w:r>
      <w:r w:rsidR="00863AB2">
        <w:t>sprechende Erlaubnis der Parteiinstanzen einholen mussten. Di</w:t>
      </w:r>
      <w:r w:rsidR="00CA6C9F">
        <w:t>e</w:t>
      </w:r>
      <w:r w:rsidR="00863AB2">
        <w:t xml:space="preserve"> </w:t>
      </w:r>
      <w:r w:rsidR="00CA6C9F">
        <w:t>Emigration in die Sowjetun</w:t>
      </w:r>
      <w:r w:rsidR="00CA6C9F">
        <w:t>i</w:t>
      </w:r>
      <w:r w:rsidR="00CA6C9F">
        <w:t xml:space="preserve">on </w:t>
      </w:r>
      <w:r w:rsidR="00863AB2">
        <w:t xml:space="preserve">unterlag strikten Begrenzungen. </w:t>
      </w:r>
    </w:p>
    <w:p w:rsidR="00863AB2" w:rsidRDefault="00863AB2" w:rsidP="008B7447">
      <w:pPr>
        <w:spacing w:after="0"/>
        <w:jc w:val="both"/>
      </w:pPr>
    </w:p>
    <w:p w:rsidR="00A3641E" w:rsidRDefault="00A3641E" w:rsidP="008B7447">
      <w:pPr>
        <w:spacing w:after="0"/>
        <w:ind w:firstLine="708"/>
        <w:jc w:val="both"/>
      </w:pPr>
      <w:r>
        <w:t xml:space="preserve">Die ersten Emigranten kamen aus dem Bürgertum. Die </w:t>
      </w:r>
      <w:r w:rsidR="00CD30F0">
        <w:t>Ver</w:t>
      </w:r>
      <w:r w:rsidR="00FA2863">
        <w:t>haftunge</w:t>
      </w:r>
      <w:r w:rsidR="00CD30F0">
        <w:t xml:space="preserve">n </w:t>
      </w:r>
      <w:r w:rsidR="00FA2863">
        <w:t xml:space="preserve">erfolgten </w:t>
      </w:r>
      <w:r w:rsidR="00CD30F0">
        <w:t xml:space="preserve">nach Listen. Die Kriterien, nach denen sie die Listen zusammengestellt hatten, waren </w:t>
      </w:r>
      <w:r w:rsidR="00FA2863">
        <w:t xml:space="preserve">jedoch </w:t>
      </w:r>
      <w:r w:rsidR="00CD30F0">
        <w:t>u</w:t>
      </w:r>
      <w:r w:rsidR="00CD30F0">
        <w:t>n</w:t>
      </w:r>
      <w:r w:rsidR="00CD30F0">
        <w:t>einheitlich</w:t>
      </w:r>
      <w:r w:rsidR="00FA2863">
        <w:t>. Ein adäquates, rational nachvollziehbares Bild vermitteln sie nicht, geschweige denn dem Ausland</w:t>
      </w:r>
      <w:r>
        <w:t>:</w:t>
      </w:r>
    </w:p>
    <w:p w:rsidR="00A3641E" w:rsidRDefault="00A3641E" w:rsidP="008B7447">
      <w:pPr>
        <w:spacing w:after="0"/>
        <w:ind w:left="1134"/>
        <w:jc w:val="both"/>
      </w:pPr>
      <w:r>
        <w:t>„Sinnlos schien die Auswahl. […] Da waren Kommunisten. Aber auch Pazifisten von großer Harmlosigkeit. Demokratische Schriftsteller, die niemand jemals ein Haar gekrümmt hatten. Rechtsanwälte, die einmal SA-Männer vor Gericht befragt hatten.“</w:t>
      </w:r>
      <w:r>
        <w:rPr>
          <w:rStyle w:val="Funotenzeichen"/>
        </w:rPr>
        <w:footnoteReference w:id="12"/>
      </w:r>
    </w:p>
    <w:p w:rsidR="00A3641E" w:rsidRPr="00A56EF3" w:rsidRDefault="00F930E7" w:rsidP="008B7447">
      <w:pPr>
        <w:spacing w:after="0"/>
        <w:jc w:val="both"/>
      </w:pPr>
      <w:r>
        <w:t>Selbst erfahrene, p</w:t>
      </w:r>
      <w:r w:rsidR="00CD30F0">
        <w:t>rominente Journalisten</w:t>
      </w:r>
      <w:r w:rsidR="00FA2863">
        <w:t xml:space="preserve"> </w:t>
      </w:r>
      <w:r w:rsidR="00CD30F0">
        <w:t xml:space="preserve">erkannten </w:t>
      </w:r>
      <w:r w:rsidR="00FA2863">
        <w:t xml:space="preserve">mitunter </w:t>
      </w:r>
      <w:r w:rsidR="00CD30F0">
        <w:t>zunächst nicht die Gefahr</w:t>
      </w:r>
      <w:r>
        <w:t>, in der sie schwebten</w:t>
      </w:r>
      <w:r w:rsidR="0086690D">
        <w:t xml:space="preserve">: </w:t>
      </w:r>
    </w:p>
    <w:p w:rsidR="00FE5283" w:rsidRPr="00A56EF3" w:rsidRDefault="00CD30F0" w:rsidP="008B7447">
      <w:pPr>
        <w:spacing w:after="0"/>
        <w:ind w:left="1134"/>
        <w:jc w:val="both"/>
      </w:pPr>
      <w:r>
        <w:t xml:space="preserve">„Es waren nicht wenige, die nicht gehen wollten. Theodor Wolff, lange Jahre Chefredakteur des </w:t>
      </w:r>
      <w:r w:rsidRPr="00CD30F0">
        <w:rPr>
          <w:i/>
        </w:rPr>
        <w:t>Berliner Tageblatts</w:t>
      </w:r>
      <w:r>
        <w:t xml:space="preserve">, kam noch einmal von München zurück und setzte sich trotzig in seine Redaktion. Was soll da sein? </w:t>
      </w:r>
      <w:r w:rsidR="000F5ABD">
        <w:t xml:space="preserve">Bis er einsah, </w:t>
      </w:r>
      <w:proofErr w:type="spellStart"/>
      <w:r w:rsidR="000F5ABD">
        <w:t>daß</w:t>
      </w:r>
      <w:proofErr w:type="spellEnd"/>
      <w:r w:rsidR="000F5ABD">
        <w:t xml:space="preserve"> es fortgehen hieß. </w:t>
      </w:r>
      <w:r>
        <w:t>Georg Bernhard</w:t>
      </w:r>
      <w:r w:rsidR="000F5ABD">
        <w:t xml:space="preserve"> [</w:t>
      </w:r>
      <w:r w:rsidR="00C45F49">
        <w:t>bis 1930</w:t>
      </w:r>
      <w:r w:rsidR="000F5ABD">
        <w:t xml:space="preserve"> Chefredakteur der </w:t>
      </w:r>
      <w:r w:rsidR="000F5ABD">
        <w:rPr>
          <w:i/>
        </w:rPr>
        <w:t>Vossischen Zeitung</w:t>
      </w:r>
      <w:r w:rsidR="000F5ABD">
        <w:t xml:space="preserve">] machte es nicht anders. </w:t>
      </w:r>
      <w:r>
        <w:t>‚Was sollen denn die von mir wollen?</w:t>
      </w:r>
      <w:proofErr w:type="gramStart"/>
      <w:r>
        <w:t>!‘</w:t>
      </w:r>
      <w:proofErr w:type="gramEnd"/>
      <w:r>
        <w:t xml:space="preserve"> Man </w:t>
      </w:r>
      <w:proofErr w:type="spellStart"/>
      <w:r>
        <w:t>mußte</w:t>
      </w:r>
      <w:proofErr w:type="spellEnd"/>
      <w:r>
        <w:t xml:space="preserve"> ihm sehr kräftig winken, bis er ging.“</w:t>
      </w:r>
      <w:r>
        <w:rPr>
          <w:rStyle w:val="Funotenzeichen"/>
        </w:rPr>
        <w:footnoteReference w:id="13"/>
      </w:r>
    </w:p>
    <w:p w:rsidR="00FE5283" w:rsidRDefault="00C660F2" w:rsidP="008B7447">
      <w:pPr>
        <w:spacing w:after="0"/>
        <w:jc w:val="both"/>
      </w:pPr>
      <w:r>
        <w:t>Die Fehleinschätzung, der Wolff wie Ber</w:t>
      </w:r>
      <w:r w:rsidR="00357C25">
        <w:t>n</w:t>
      </w:r>
      <w:r>
        <w:t xml:space="preserve">hard unterlagen, war keineswegs untypisch. Aber ihr unterlagen vor allem </w:t>
      </w:r>
      <w:r>
        <w:rPr>
          <w:i/>
        </w:rPr>
        <w:t>Prominente</w:t>
      </w:r>
      <w:r>
        <w:t xml:space="preserve">, die sich aufgrund ihres Namens und ihrer Reputation nicht gefährdet </w:t>
      </w:r>
      <w:r w:rsidR="006A00F2">
        <w:t>fühlt</w:t>
      </w:r>
      <w:r>
        <w:t xml:space="preserve">en. Aber die Prominenten stellen, so </w:t>
      </w:r>
      <w:proofErr w:type="spellStart"/>
      <w:r>
        <w:t>Olden</w:t>
      </w:r>
      <w:proofErr w:type="spellEnd"/>
      <w:r>
        <w:t xml:space="preserve">, nur eine Minderheit </w:t>
      </w:r>
      <w:r w:rsidR="00FA2863">
        <w:t xml:space="preserve">der Emigranten </w:t>
      </w:r>
      <w:r>
        <w:t>dar:</w:t>
      </w:r>
    </w:p>
    <w:p w:rsidR="00C660F2" w:rsidRDefault="00C660F2" w:rsidP="008B7447">
      <w:pPr>
        <w:spacing w:after="0"/>
        <w:ind w:left="1134"/>
        <w:jc w:val="both"/>
      </w:pPr>
      <w:r>
        <w:t xml:space="preserve">„Aber das war nicht die Masse der Emigration. Die begann zu strömen, als der erste April sich nahte. Man </w:t>
      </w:r>
      <w:proofErr w:type="spellStart"/>
      <w:r>
        <w:t>wußte</w:t>
      </w:r>
      <w:proofErr w:type="spellEnd"/>
      <w:r>
        <w:t xml:space="preserve"> nicht, was der große Boykott-Tag </w:t>
      </w:r>
      <w:proofErr w:type="gramStart"/>
      <w:r>
        <w:t>bringen</w:t>
      </w:r>
      <w:proofErr w:type="gramEnd"/>
      <w:r>
        <w:t>, ob die vielgerühmte deutsche Disziplin sich bewähren würde. Es konnte auch ein Pogrom werden.</w:t>
      </w:r>
    </w:p>
    <w:p w:rsidR="00C660F2" w:rsidRDefault="00C660F2" w:rsidP="008B7447">
      <w:pPr>
        <w:spacing w:after="0"/>
        <w:ind w:left="1134"/>
        <w:jc w:val="both"/>
      </w:pPr>
      <w:r>
        <w:t>Damals drängten Tausende in Panik hinaus.“</w:t>
      </w:r>
      <w:r w:rsidR="009C396B">
        <w:rPr>
          <w:rStyle w:val="Funotenzeichen"/>
        </w:rPr>
        <w:footnoteReference w:id="14"/>
      </w:r>
      <w:r>
        <w:t xml:space="preserve"> </w:t>
      </w:r>
    </w:p>
    <w:p w:rsidR="00C660F2" w:rsidRPr="00C660F2" w:rsidRDefault="00FA2863" w:rsidP="008B7447">
      <w:pPr>
        <w:spacing w:after="0"/>
        <w:jc w:val="both"/>
      </w:pPr>
      <w:r>
        <w:t>Das auslösende Moment der Fluchtbewegung war d</w:t>
      </w:r>
      <w:r w:rsidR="00F930E7">
        <w:t>i</w:t>
      </w:r>
      <w:r>
        <w:t>e</w:t>
      </w:r>
      <w:r w:rsidR="00F930E7">
        <w:t xml:space="preserve"> Panik des angekündigten Pogroms</w:t>
      </w:r>
      <w:r>
        <w:t xml:space="preserve">. </w:t>
      </w:r>
      <w:r w:rsidR="00F930E7">
        <w:t>Der Begriff fällt nicht, aber der Zusammenhang von Flucht und Pogrom ist evident. – M</w:t>
      </w:r>
      <w:r w:rsidR="00B11F96">
        <w:t xml:space="preserve">it </w:t>
      </w:r>
      <w:r w:rsidR="00F930E7">
        <w:t>d</w:t>
      </w:r>
      <w:r w:rsidR="00B11F96">
        <w:t>er E</w:t>
      </w:r>
      <w:r w:rsidR="00B11F96">
        <w:t>r</w:t>
      </w:r>
      <w:r w:rsidR="00B11F96">
        <w:t xml:space="preserve">wähnung </w:t>
      </w:r>
      <w:r w:rsidR="00F930E7">
        <w:t xml:space="preserve">des „Judenboykotttages“ und seiner Auswirkungen </w:t>
      </w:r>
      <w:r w:rsidR="00B11F96">
        <w:t xml:space="preserve">lenkt </w:t>
      </w:r>
      <w:proofErr w:type="spellStart"/>
      <w:r w:rsidR="009C396B">
        <w:t>Olden</w:t>
      </w:r>
      <w:proofErr w:type="spellEnd"/>
      <w:r w:rsidR="009C396B">
        <w:t xml:space="preserve"> </w:t>
      </w:r>
      <w:r w:rsidR="00863AB2">
        <w:t xml:space="preserve">auch </w:t>
      </w:r>
      <w:r w:rsidR="00F930E7">
        <w:t>an dieser Stelle</w:t>
      </w:r>
      <w:r w:rsidR="00863AB2">
        <w:t xml:space="preserve"> </w:t>
      </w:r>
      <w:r w:rsidR="009C396B">
        <w:t xml:space="preserve">den Blick </w:t>
      </w:r>
      <w:r w:rsidR="00B11F96">
        <w:t xml:space="preserve">auf die </w:t>
      </w:r>
      <w:r w:rsidR="00F930E7">
        <w:t>noch ausstehende, aber durchaus vorhersehbare</w:t>
      </w:r>
      <w:r w:rsidR="00B11F96">
        <w:t xml:space="preserve"> Entwicklung. Er geht davon </w:t>
      </w:r>
      <w:r w:rsidR="00B11F96">
        <w:lastRenderedPageBreak/>
        <w:t xml:space="preserve">aus, dass die antisemitische Verfolgung </w:t>
      </w:r>
      <w:r w:rsidR="00F930E7">
        <w:t xml:space="preserve">sich </w:t>
      </w:r>
      <w:r w:rsidR="00B11F96">
        <w:t>noch verstärken und d</w:t>
      </w:r>
      <w:r w:rsidR="00863AB2">
        <w:t>ie</w:t>
      </w:r>
      <w:r w:rsidR="001E6E9F">
        <w:t xml:space="preserve"> </w:t>
      </w:r>
      <w:r w:rsidR="00B11F96">
        <w:t xml:space="preserve">Migrationsbewegung damit </w:t>
      </w:r>
      <w:r w:rsidR="00F930E7">
        <w:t>weiter</w:t>
      </w:r>
      <w:r w:rsidR="00B11F96">
        <w:t xml:space="preserve"> </w:t>
      </w:r>
      <w:r w:rsidR="00863AB2">
        <w:t>anwachsen wer</w:t>
      </w:r>
      <w:r w:rsidR="00B11F96">
        <w:t>de</w:t>
      </w:r>
      <w:r w:rsidR="009C396B">
        <w:t>.</w:t>
      </w:r>
    </w:p>
    <w:p w:rsidR="00FE5283" w:rsidRPr="00A56EF3" w:rsidRDefault="00FE5283" w:rsidP="008B7447">
      <w:pPr>
        <w:spacing w:after="0"/>
        <w:jc w:val="both"/>
      </w:pPr>
    </w:p>
    <w:p w:rsidR="00B11F96" w:rsidRDefault="008C083A" w:rsidP="008B7447">
      <w:pPr>
        <w:spacing w:after="0"/>
        <w:jc w:val="both"/>
      </w:pPr>
      <w:r>
        <w:tab/>
      </w:r>
      <w:proofErr w:type="spellStart"/>
      <w:r>
        <w:t>Oldens</w:t>
      </w:r>
      <w:proofErr w:type="spellEnd"/>
      <w:r>
        <w:t xml:space="preserve"> Beschreibung der </w:t>
      </w:r>
      <w:r w:rsidR="005E6E79">
        <w:t>Pariser Emigran</w:t>
      </w:r>
      <w:r w:rsidR="00B11F96">
        <w:t>tenszene</w:t>
      </w:r>
      <w:r w:rsidR="005E6E79">
        <w:t xml:space="preserve"> orientiert sich</w:t>
      </w:r>
      <w:r w:rsidR="00B11F96">
        <w:t xml:space="preserve"> stark</w:t>
      </w:r>
      <w:r w:rsidR="005E6E79">
        <w:t xml:space="preserve"> an </w:t>
      </w:r>
      <w:r w:rsidR="00B11F96">
        <w:t>journalist</w:t>
      </w:r>
      <w:r w:rsidR="00B11F96">
        <w:t>i</w:t>
      </w:r>
      <w:r w:rsidR="005E6E79">
        <w:t>sche</w:t>
      </w:r>
      <w:r w:rsidR="00F930E7">
        <w:t>r</w:t>
      </w:r>
      <w:r w:rsidR="005E6E79">
        <w:t xml:space="preserve"> </w:t>
      </w:r>
      <w:proofErr w:type="spellStart"/>
      <w:r w:rsidR="005E6E79">
        <w:t>Reportagetechnik</w:t>
      </w:r>
      <w:proofErr w:type="spellEnd"/>
      <w:r w:rsidR="005E6E79">
        <w:t xml:space="preserve">. </w:t>
      </w:r>
      <w:r w:rsidR="00B11F96">
        <w:t>Er will nicht belehren – er will Interesse erwecken. Mal</w:t>
      </w:r>
      <w:r w:rsidR="005E6E79">
        <w:t xml:space="preserve"> </w:t>
      </w:r>
      <w:r w:rsidR="001E6E9F">
        <w:t xml:space="preserve">schildert </w:t>
      </w:r>
      <w:r w:rsidR="00B11F96">
        <w:t>er</w:t>
      </w:r>
      <w:r w:rsidR="001E6E9F">
        <w:t xml:space="preserve"> Sachverhalte aus </w:t>
      </w:r>
      <w:r w:rsidR="00B11F96">
        <w:t xml:space="preserve">der </w:t>
      </w:r>
      <w:r w:rsidR="001E6E9F">
        <w:t xml:space="preserve">Nähe, mal aus </w:t>
      </w:r>
      <w:r w:rsidR="00B11F96">
        <w:t>größ</w:t>
      </w:r>
      <w:r w:rsidR="001E6E9F">
        <w:t>erer Distanz</w:t>
      </w:r>
      <w:r w:rsidR="00B11F96">
        <w:t>. Immer wieder</w:t>
      </w:r>
      <w:r w:rsidR="001E6E9F">
        <w:t xml:space="preserve"> </w:t>
      </w:r>
      <w:r w:rsidR="005E6E79">
        <w:t>wechselt</w:t>
      </w:r>
      <w:r w:rsidR="00B11F96">
        <w:t xml:space="preserve"> er</w:t>
      </w:r>
      <w:r w:rsidR="005E6E79">
        <w:t xml:space="preserve"> die Perspe</w:t>
      </w:r>
      <w:r w:rsidR="005E6E79">
        <w:t>k</w:t>
      </w:r>
      <w:r w:rsidR="005E6E79">
        <w:t xml:space="preserve">tive. </w:t>
      </w:r>
      <w:r w:rsidR="00B11F96">
        <w:t>Der Leser soll sich selber ein Urteil bilden.</w:t>
      </w:r>
    </w:p>
    <w:p w:rsidR="00FE5283" w:rsidRPr="005E6E79" w:rsidRDefault="005E6E79" w:rsidP="008B7447">
      <w:pPr>
        <w:spacing w:after="0"/>
        <w:ind w:firstLine="708"/>
        <w:jc w:val="both"/>
      </w:pPr>
      <w:r>
        <w:t xml:space="preserve">Ab und zu greift er zu anekdotischen </w:t>
      </w:r>
      <w:r w:rsidR="00B11F96">
        <w:t>Erzählf</w:t>
      </w:r>
      <w:r>
        <w:t>ormen, so in dem Kapitel „</w:t>
      </w:r>
      <w:r w:rsidRPr="005E6E79">
        <w:t>Ein Neujahr</w:t>
      </w:r>
      <w:r w:rsidRPr="005E6E79">
        <w:t>s</w:t>
      </w:r>
      <w:r w:rsidRPr="005E6E79">
        <w:t>abend in einem kleinen Café</w:t>
      </w:r>
      <w:r>
        <w:t>“. D</w:t>
      </w:r>
      <w:r w:rsidR="008D24A8">
        <w:t>er Ort</w:t>
      </w:r>
      <w:r>
        <w:t xml:space="preserve">, </w:t>
      </w:r>
      <w:r w:rsidR="00B11F96">
        <w:t xml:space="preserve">der Anlass </w:t>
      </w:r>
      <w:r>
        <w:t xml:space="preserve">und die „gemischte Gesellschaft“, die hier versammelt ist, erlauben ihm einen Blick auf unterschiedliche soziale und politische </w:t>
      </w:r>
      <w:r w:rsidR="009F6E92">
        <w:t>Halt</w:t>
      </w:r>
      <w:r>
        <w:t>u</w:t>
      </w:r>
      <w:r>
        <w:t>n</w:t>
      </w:r>
      <w:r>
        <w:t>gen</w:t>
      </w:r>
      <w:r w:rsidR="00B11F96">
        <w:t>. Wichtig ist</w:t>
      </w:r>
      <w:r w:rsidR="008D24A8">
        <w:t xml:space="preserve"> es</w:t>
      </w:r>
      <w:r w:rsidR="00B11F96">
        <w:t xml:space="preserve"> ihm</w:t>
      </w:r>
      <w:r w:rsidR="008D24A8">
        <w:t>,</w:t>
      </w:r>
      <w:r w:rsidR="00B11F96">
        <w:t xml:space="preserve"> die Spannweite </w:t>
      </w:r>
      <w:r w:rsidR="0097397E">
        <w:t xml:space="preserve">der in der Emigration vertretenen </w:t>
      </w:r>
      <w:r w:rsidR="008D24A8">
        <w:t>Gruppen zu b</w:t>
      </w:r>
      <w:r w:rsidR="008D24A8">
        <w:t>e</w:t>
      </w:r>
      <w:r w:rsidR="008D24A8">
        <w:t>leuchten</w:t>
      </w:r>
      <w:r>
        <w:t>:</w:t>
      </w:r>
    </w:p>
    <w:p w:rsidR="005E6E79" w:rsidRDefault="005E6E79" w:rsidP="008B7447">
      <w:pPr>
        <w:spacing w:after="0"/>
        <w:ind w:left="1134"/>
        <w:jc w:val="both"/>
      </w:pPr>
      <w:r>
        <w:t>„Da sind ein paar Ärzte, ein paar Juristen, ein paar Schriftsteller, ein paar Reda</w:t>
      </w:r>
      <w:r>
        <w:t>k</w:t>
      </w:r>
      <w:r>
        <w:t>teure. Das heißt, es sind alle ‚frühere‘, a.</w:t>
      </w:r>
      <w:r w:rsidR="009F6E92">
        <w:t xml:space="preserve"> </w:t>
      </w:r>
      <w:r>
        <w:t>D., von Hitler um ihre Praxis, um ihre Kanzleien, um ihre Schreibtische, um ihre Redaktion gebracht. Welche sind J</w:t>
      </w:r>
      <w:r>
        <w:t>u</w:t>
      </w:r>
      <w:r>
        <w:t xml:space="preserve">den, welche Halb-Juden, welche Viertel-Juden. Einige sind </w:t>
      </w:r>
      <w:proofErr w:type="spellStart"/>
      <w:r>
        <w:t>Assimilanten</w:t>
      </w:r>
      <w:proofErr w:type="spellEnd"/>
      <w:r>
        <w:t>, andere jüdisch-national, die dritten Zionisten. Mehrere haben die Stellung zur Religion oder Rasse gewechselt, einige davon mehrmals. Andere haben sich noch nicht entschieden.“</w:t>
      </w:r>
      <w:r w:rsidR="00837595">
        <w:rPr>
          <w:rStyle w:val="Funotenzeichen"/>
        </w:rPr>
        <w:footnoteReference w:id="15"/>
      </w:r>
      <w:r>
        <w:t xml:space="preserve"> </w:t>
      </w:r>
    </w:p>
    <w:p w:rsidR="009F6E92" w:rsidRDefault="009F6E92" w:rsidP="008B7447">
      <w:pPr>
        <w:spacing w:after="0"/>
        <w:jc w:val="both"/>
      </w:pPr>
      <w:r>
        <w:t xml:space="preserve">Die Gruppe ist also heterogen strukturiert. Kurioserweise gibt es jedoch </w:t>
      </w:r>
      <w:r w:rsidR="0097397E">
        <w:t>verbindende Eleme</w:t>
      </w:r>
      <w:r w:rsidR="0097397E">
        <w:t>n</w:t>
      </w:r>
      <w:r w:rsidR="0097397E">
        <w:t>t</w:t>
      </w:r>
      <w:r>
        <w:t>e, so</w:t>
      </w:r>
      <w:r w:rsidR="0097397E">
        <w:t>, dass all</w:t>
      </w:r>
      <w:r w:rsidR="00837595">
        <w:t>e den traditionellen deutschen „Weihnachtsstollen“ lieben und dass sie sich z</w:t>
      </w:r>
      <w:r w:rsidR="00837595">
        <w:t>u</w:t>
      </w:r>
      <w:r w:rsidR="00837595">
        <w:t>rück nach Deutschland sehnen. In Deutschland herrsch</w:t>
      </w:r>
      <w:r>
        <w:t>e</w:t>
      </w:r>
      <w:r w:rsidR="00837595">
        <w:t xml:space="preserve"> </w:t>
      </w:r>
      <w:r w:rsidR="0097397E">
        <w:t xml:space="preserve">– im Gegensatz zu Frankreich – </w:t>
      </w:r>
      <w:r w:rsidR="00837595">
        <w:t xml:space="preserve">„Ordnung“. </w:t>
      </w:r>
      <w:r w:rsidR="00E3220E">
        <w:t>Der „Weihnachtsstollen“ und die „Ordnung“ gehören offensichtlich zusammen.</w:t>
      </w:r>
    </w:p>
    <w:p w:rsidR="00FE5283" w:rsidRPr="00A56EF3" w:rsidRDefault="00E3220E" w:rsidP="008B7447">
      <w:pPr>
        <w:spacing w:after="0"/>
        <w:ind w:firstLine="708"/>
        <w:jc w:val="both"/>
      </w:pPr>
      <w:r>
        <w:t>D</w:t>
      </w:r>
      <w:r w:rsidR="00837595">
        <w:t xml:space="preserve">er </w:t>
      </w:r>
      <w:r w:rsidR="009F6E92">
        <w:t>s</w:t>
      </w:r>
      <w:r w:rsidR="00837595">
        <w:t>p</w:t>
      </w:r>
      <w:r w:rsidR="009F6E92">
        <w:t>ö</w:t>
      </w:r>
      <w:r w:rsidR="00837595">
        <w:t>tt</w:t>
      </w:r>
      <w:r w:rsidR="009F6E92">
        <w:t>ische Unterton</w:t>
      </w:r>
      <w:r w:rsidR="00837595">
        <w:t xml:space="preserve">, mit dem </w:t>
      </w:r>
      <w:proofErr w:type="spellStart"/>
      <w:r w:rsidR="00837595">
        <w:t>Olden</w:t>
      </w:r>
      <w:proofErr w:type="spellEnd"/>
      <w:r w:rsidR="00837595">
        <w:t xml:space="preserve"> </w:t>
      </w:r>
      <w:r w:rsidR="0097397E">
        <w:t xml:space="preserve">diese Beobachtung </w:t>
      </w:r>
      <w:r w:rsidR="009F6E92">
        <w:t>mitteil</w:t>
      </w:r>
      <w:r w:rsidR="0097397E">
        <w:t>t</w:t>
      </w:r>
      <w:r w:rsidR="00837595">
        <w:t>, ist unüber</w:t>
      </w:r>
      <w:r>
        <w:t>hör</w:t>
      </w:r>
      <w:r w:rsidR="00837595">
        <w:t>bar</w:t>
      </w:r>
      <w:r w:rsidR="009F6E92">
        <w:t xml:space="preserve">. Für </w:t>
      </w:r>
      <w:proofErr w:type="spellStart"/>
      <w:r w:rsidR="009F6E92">
        <w:t>Ika</w:t>
      </w:r>
      <w:proofErr w:type="spellEnd"/>
      <w:r w:rsidR="009F6E92">
        <w:t xml:space="preserve"> und Rudolf </w:t>
      </w:r>
      <w:proofErr w:type="spellStart"/>
      <w:r w:rsidR="009F6E92">
        <w:t>Olden</w:t>
      </w:r>
      <w:proofErr w:type="spellEnd"/>
      <w:r w:rsidR="009F6E92">
        <w:t xml:space="preserve"> sind „die Deutschen“ ein kurioses Volk. Obwohl die Erfahrung sie korrigieren müsste, glauben auch die Flüchtlinge noch an das, was man ihnen im wilhelmin</w:t>
      </w:r>
      <w:r w:rsidR="009F6E92">
        <w:t>i</w:t>
      </w:r>
      <w:r w:rsidR="009F6E92">
        <w:t>schen Deutschland in der Schule wie in der Familie vermittelt hat</w:t>
      </w:r>
      <w:r w:rsidR="00837595">
        <w:t>:</w:t>
      </w:r>
    </w:p>
    <w:p w:rsidR="00837595" w:rsidRPr="00701C9B" w:rsidRDefault="00837595" w:rsidP="008B7447">
      <w:pPr>
        <w:spacing w:after="0"/>
        <w:ind w:left="1134"/>
        <w:jc w:val="both"/>
      </w:pPr>
      <w:r>
        <w:t xml:space="preserve">„Der junge Arzt aus Berlin W. […] glaubt an Friedrich den Großen, ja sogar an seinen bösen Vater. Er glaubt an die Regierungskunst der preußischen Landräte. […] Er glaubt, </w:t>
      </w:r>
      <w:proofErr w:type="spellStart"/>
      <w:r>
        <w:t>daß</w:t>
      </w:r>
      <w:proofErr w:type="spellEnd"/>
      <w:r>
        <w:t xml:space="preserve"> nur die Deutschen Ordnung auf der Straße halten können.“</w:t>
      </w:r>
      <w:r>
        <w:rPr>
          <w:rStyle w:val="Funotenzeichen"/>
        </w:rPr>
        <w:footnoteReference w:id="16"/>
      </w:r>
    </w:p>
    <w:p w:rsidR="00FE5283" w:rsidRDefault="003C26F5" w:rsidP="008B7447">
      <w:pPr>
        <w:spacing w:after="0"/>
        <w:jc w:val="both"/>
      </w:pPr>
      <w:proofErr w:type="spellStart"/>
      <w:r>
        <w:t>Olden</w:t>
      </w:r>
      <w:proofErr w:type="spellEnd"/>
      <w:r>
        <w:t xml:space="preserve"> will nicht verletzen. Ihm ist wichtig, sowohl die Gemeinsamkeiten als auch die diff</w:t>
      </w:r>
      <w:r>
        <w:t>e</w:t>
      </w:r>
      <w:r>
        <w:t>renten Ansichten und Haltungen herauszustellen</w:t>
      </w:r>
      <w:r w:rsidR="00E3220E">
        <w:t xml:space="preserve">. </w:t>
      </w:r>
      <w:r w:rsidR="0097397E">
        <w:t xml:space="preserve">Vorsichtig </w:t>
      </w:r>
      <w:r w:rsidR="00E3220E">
        <w:t xml:space="preserve">lenkt er den Blick </w:t>
      </w:r>
      <w:r w:rsidR="0097397E">
        <w:t>von den „deu</w:t>
      </w:r>
      <w:r w:rsidR="0097397E">
        <w:t>t</w:t>
      </w:r>
      <w:r w:rsidR="0097397E">
        <w:t xml:space="preserve">schen“ Juden </w:t>
      </w:r>
      <w:r w:rsidR="00E3220E">
        <w:t xml:space="preserve">auf die </w:t>
      </w:r>
      <w:r w:rsidR="0097397E">
        <w:t>„</w:t>
      </w:r>
      <w:r w:rsidR="00E3220E">
        <w:t>Ostjuden</w:t>
      </w:r>
      <w:r w:rsidR="0097397E">
        <w:t>“</w:t>
      </w:r>
      <w:r w:rsidR="00E3220E">
        <w:t>, die Minderheit innerhalb der Minderheit</w:t>
      </w:r>
      <w:r>
        <w:t>:</w:t>
      </w:r>
    </w:p>
    <w:p w:rsidR="003C26F5" w:rsidRPr="00A56EF3" w:rsidRDefault="003C26F5" w:rsidP="008B7447">
      <w:pPr>
        <w:spacing w:after="0"/>
        <w:ind w:left="1134"/>
        <w:jc w:val="both"/>
      </w:pPr>
      <w:r>
        <w:t>„Auch andere Vertriebene haben manchmal Heimweh. Aber mit den Ostjuden ist es etwas anderes. Sie haben nicht nur ihr Land, sie haben ihr Ideal verloren.</w:t>
      </w:r>
      <w:r w:rsidR="00B45430">
        <w:t>“</w:t>
      </w:r>
    </w:p>
    <w:p w:rsidR="00561B9F" w:rsidRPr="00A56EF3" w:rsidRDefault="0097397E" w:rsidP="008B7447">
      <w:pPr>
        <w:spacing w:after="0"/>
        <w:jc w:val="both"/>
      </w:pPr>
      <w:r>
        <w:t>W</w:t>
      </w:r>
      <w:r w:rsidR="003C26F5">
        <w:t>as ist dieses Ideal? Worin unterscheiden sich die Ostjuden von den „deutschen Juden“?</w:t>
      </w:r>
    </w:p>
    <w:p w:rsidR="003C26F5" w:rsidRDefault="003C26F5" w:rsidP="008B7447">
      <w:pPr>
        <w:spacing w:after="0"/>
        <w:ind w:left="1134"/>
        <w:jc w:val="both"/>
      </w:pPr>
      <w:r>
        <w:t xml:space="preserve">„Die Ostjuden kommen aus </w:t>
      </w:r>
      <w:proofErr w:type="spellStart"/>
      <w:r>
        <w:t>Rußland</w:t>
      </w:r>
      <w:proofErr w:type="spellEnd"/>
      <w:r>
        <w:t>, wo sie keine gute Zeit gehabt haben. Wenn dort einer bildungsbeflissen  war, und das waren nicht wenige von ihnen, und er streckte den Kopf über den Talmud heraus, so las er Goethe. Er las Schiller. Er las Kant und Schopenhauer. Sie sprachen ohnehin jiddisch, von da ist es nicht weit bis zu deutsch. Und wenn einer von ihnen begann, sich der westlichen Kultur zu nähern, so war es die deutsche Kultur.</w:t>
      </w:r>
    </w:p>
    <w:p w:rsidR="003C26F5" w:rsidRDefault="003C26F5" w:rsidP="008B7447">
      <w:pPr>
        <w:spacing w:after="0"/>
        <w:ind w:left="1134"/>
        <w:jc w:val="both"/>
      </w:pPr>
      <w:r>
        <w:lastRenderedPageBreak/>
        <w:t>Die richtigen Russen sprachen und lasen französisch. Aber die russischen Juden, die erwacht waren aus der hebräischen Welt der Synagoge, erfüllten sich mit den Schätzen der deutschen Poesie und der deutschen Philosophie.“</w:t>
      </w:r>
      <w:r>
        <w:rPr>
          <w:rStyle w:val="Funotenzeichen"/>
        </w:rPr>
        <w:footnoteReference w:id="17"/>
      </w:r>
    </w:p>
    <w:p w:rsidR="003C26F5" w:rsidRDefault="003C26F5" w:rsidP="008B7447">
      <w:pPr>
        <w:spacing w:after="0"/>
        <w:jc w:val="both"/>
      </w:pPr>
      <w:r>
        <w:t>Mit der Hoffnung auf Deutschland</w:t>
      </w:r>
      <w:r w:rsidR="0097397E">
        <w:t xml:space="preserve"> und die deutsche Kultur</w:t>
      </w:r>
      <w:r>
        <w:t xml:space="preserve"> verbanden die </w:t>
      </w:r>
      <w:r w:rsidR="008D24A8">
        <w:t>in Osteuropa l</w:t>
      </w:r>
      <w:r w:rsidR="008D24A8">
        <w:t>e</w:t>
      </w:r>
      <w:r w:rsidR="008D24A8">
        <w:t>benden J</w:t>
      </w:r>
      <w:r>
        <w:t>uden die Erwartung von Rechtssicherheit und politischer wie sozialer Gleichstellung</w:t>
      </w:r>
      <w:r w:rsidR="00487CD5">
        <w:t xml:space="preserve">. </w:t>
      </w:r>
      <w:r w:rsidR="008D24A8">
        <w:t xml:space="preserve">Dies verleitete sie z.T. zu grotesken Handlungen. </w:t>
      </w:r>
      <w:r w:rsidR="00487CD5">
        <w:t xml:space="preserve">Als angesichts der </w:t>
      </w:r>
      <w:r w:rsidR="008D24A8">
        <w:t>Ausschreitungen, die sich 1903</w:t>
      </w:r>
      <w:r w:rsidR="00B45430">
        <w:t xml:space="preserve"> </w:t>
      </w:r>
      <w:r w:rsidR="008D24A8">
        <w:t xml:space="preserve">bei den </w:t>
      </w:r>
      <w:r w:rsidR="00487CD5">
        <w:t>Pogrome</w:t>
      </w:r>
      <w:r w:rsidR="008D24A8">
        <w:t>n</w:t>
      </w:r>
      <w:r w:rsidR="00487CD5">
        <w:t xml:space="preserve"> von </w:t>
      </w:r>
      <w:proofErr w:type="spellStart"/>
      <w:r w:rsidR="00487CD5">
        <w:t>Kischinew</w:t>
      </w:r>
      <w:proofErr w:type="spellEnd"/>
      <w:r w:rsidR="008D24A8">
        <w:t xml:space="preserve"> ereigneten,</w:t>
      </w:r>
      <w:r w:rsidR="00487CD5">
        <w:t xml:space="preserve"> </w:t>
      </w:r>
      <w:r w:rsidR="008D24A8">
        <w:t>verschiedene Betroffene</w:t>
      </w:r>
      <w:r w:rsidR="00487CD5">
        <w:t xml:space="preserve"> wahnsinnig wurden, reagierte einer </w:t>
      </w:r>
      <w:r w:rsidR="008D24A8">
        <w:t>von</w:t>
      </w:r>
      <w:r w:rsidR="00487CD5">
        <w:t xml:space="preserve"> ihnen damit, dass er laut schrie, er müsse an Wilhelm II. telegr</w:t>
      </w:r>
      <w:r w:rsidR="00487CD5">
        <w:t>a</w:t>
      </w:r>
      <w:r w:rsidR="00487CD5">
        <w:t>fieren</w:t>
      </w:r>
      <w:r w:rsidR="004D3F9C">
        <w:t>:</w:t>
      </w:r>
      <w:r>
        <w:t xml:space="preserve"> </w:t>
      </w:r>
    </w:p>
    <w:p w:rsidR="003C26F5" w:rsidRDefault="003C26F5" w:rsidP="008B7447">
      <w:pPr>
        <w:spacing w:after="0"/>
        <w:ind w:left="1134"/>
        <w:jc w:val="both"/>
      </w:pPr>
      <w:r>
        <w:t xml:space="preserve">„So groß war das Vertrauen der russischen Juden zu der deutschen Gerechtigkeit, </w:t>
      </w:r>
      <w:proofErr w:type="spellStart"/>
      <w:r>
        <w:t>daß</w:t>
      </w:r>
      <w:proofErr w:type="spellEnd"/>
      <w:r>
        <w:t xml:space="preserve"> es noch laut aus dem Wahnsinnigen sprach. Und sie gewöhnen sich nur schwer an den Gedanken, </w:t>
      </w:r>
      <w:proofErr w:type="spellStart"/>
      <w:r>
        <w:t>daß</w:t>
      </w:r>
      <w:proofErr w:type="spellEnd"/>
      <w:r>
        <w:t xml:space="preserve"> sie sich geirrt haben.“</w:t>
      </w:r>
      <w:r w:rsidR="004D3F9C">
        <w:rPr>
          <w:rStyle w:val="Funotenzeichen"/>
        </w:rPr>
        <w:footnoteReference w:id="18"/>
      </w:r>
      <w:r>
        <w:t xml:space="preserve"> </w:t>
      </w:r>
    </w:p>
    <w:p w:rsidR="00FE5283" w:rsidRPr="00A56EF3" w:rsidRDefault="00487CD5" w:rsidP="008B7447">
      <w:pPr>
        <w:spacing w:after="0"/>
        <w:jc w:val="both"/>
      </w:pPr>
      <w:r>
        <w:t xml:space="preserve">Damit </w:t>
      </w:r>
      <w:r w:rsidR="007C7A08">
        <w:t>jedoch</w:t>
      </w:r>
      <w:r>
        <w:t xml:space="preserve"> nicht der Anschein entsteht, die </w:t>
      </w:r>
      <w:r w:rsidR="004D2BBE">
        <w:t xml:space="preserve">damalige </w:t>
      </w:r>
      <w:r>
        <w:t>Hoffnung</w:t>
      </w:r>
      <w:r w:rsidR="007C7A08">
        <w:t xml:space="preserve"> </w:t>
      </w:r>
      <w:r>
        <w:t xml:space="preserve">sei gänzlich unbegründet gewesen, fährt </w:t>
      </w:r>
      <w:proofErr w:type="spellStart"/>
      <w:r>
        <w:t>Olden</w:t>
      </w:r>
      <w:proofErr w:type="spellEnd"/>
      <w:r>
        <w:t xml:space="preserve"> wenig später fort:</w:t>
      </w:r>
    </w:p>
    <w:p w:rsidR="00FE5283" w:rsidRPr="00A56EF3" w:rsidRDefault="00487CD5" w:rsidP="008B7447">
      <w:pPr>
        <w:spacing w:after="0"/>
        <w:ind w:left="1134"/>
        <w:jc w:val="both"/>
      </w:pPr>
      <w:r>
        <w:t>„Wir glauben, das bessere Deutschland ist heute in der Emigration, und dort sind die besseren deutschen Juden.“</w:t>
      </w:r>
      <w:r>
        <w:rPr>
          <w:rStyle w:val="Funotenzeichen"/>
        </w:rPr>
        <w:footnoteReference w:id="19"/>
      </w:r>
      <w:r>
        <w:t xml:space="preserve"> </w:t>
      </w:r>
    </w:p>
    <w:p w:rsidR="007C7A08" w:rsidRDefault="007C7A08" w:rsidP="008B7447">
      <w:pPr>
        <w:spacing w:after="0"/>
        <w:jc w:val="both"/>
      </w:pPr>
      <w:r>
        <w:t xml:space="preserve">Die </w:t>
      </w:r>
      <w:r w:rsidR="004D2BBE">
        <w:t xml:space="preserve">leicht pathetisch klingende </w:t>
      </w:r>
      <w:r>
        <w:t xml:space="preserve">Bemerkung soll </w:t>
      </w:r>
      <w:r w:rsidR="004D2BBE">
        <w:t>offensich</w:t>
      </w:r>
      <w:r>
        <w:t xml:space="preserve">tlich die differenten Mentalitäten und unterschiedlichen </w:t>
      </w:r>
      <w:r w:rsidR="004D2BBE">
        <w:t>historischen Erfahrun</w:t>
      </w:r>
      <w:r>
        <w:t>gen, die innerhalb der Emigration bestehen, ve</w:t>
      </w:r>
      <w:r>
        <w:t>r</w:t>
      </w:r>
      <w:r>
        <w:t>söhnend zusammenführen.</w:t>
      </w:r>
    </w:p>
    <w:p w:rsidR="004D2BBE" w:rsidRDefault="004D2BBE" w:rsidP="008B7447">
      <w:pPr>
        <w:spacing w:after="0"/>
        <w:jc w:val="both"/>
      </w:pPr>
    </w:p>
    <w:p w:rsidR="007C7A08" w:rsidRDefault="007C7A08" w:rsidP="008B7447">
      <w:pPr>
        <w:spacing w:after="0"/>
        <w:jc w:val="both"/>
      </w:pPr>
      <w:r>
        <w:tab/>
        <w:t xml:space="preserve">Relativ knapp geht </w:t>
      </w:r>
      <w:proofErr w:type="spellStart"/>
      <w:r>
        <w:t>Olden</w:t>
      </w:r>
      <w:proofErr w:type="spellEnd"/>
      <w:r>
        <w:t xml:space="preserve"> auf das Schriftstellerexil ein. Für ihn ist es ein Randphän</w:t>
      </w:r>
      <w:r>
        <w:t>o</w:t>
      </w:r>
      <w:r>
        <w:t>men:</w:t>
      </w:r>
    </w:p>
    <w:p w:rsidR="007C7A08" w:rsidRDefault="007C7A08" w:rsidP="008B7447">
      <w:pPr>
        <w:spacing w:after="0"/>
        <w:ind w:left="1134"/>
        <w:jc w:val="both"/>
      </w:pPr>
      <w:r>
        <w:t xml:space="preserve">„Neulich las man in der Presse ein Aufzählung Ausgewanderter […]. Es fiel auf, </w:t>
      </w:r>
      <w:proofErr w:type="spellStart"/>
      <w:r>
        <w:t>daß</w:t>
      </w:r>
      <w:proofErr w:type="spellEnd"/>
      <w:r>
        <w:t xml:space="preserve"> die meisten unter ihnen Schriftsteller waren. Politische Schriftsteller, halbp</w:t>
      </w:r>
      <w:r>
        <w:t>o</w:t>
      </w:r>
      <w:r>
        <w:t>litische Schriftsteller, unpolitische Schriftsteller. Wir sprechen nicht vom Rang – obwohl der auch sehr verschieden war – wenn wir sagen: Kraut und Rüben.“</w:t>
      </w:r>
      <w:r>
        <w:rPr>
          <w:rStyle w:val="Funotenzeichen"/>
        </w:rPr>
        <w:footnoteReference w:id="20"/>
      </w:r>
      <w:r>
        <w:t xml:space="preserve"> </w:t>
      </w:r>
    </w:p>
    <w:p w:rsidR="007C7A08" w:rsidRDefault="007C7A08" w:rsidP="008B7447">
      <w:pPr>
        <w:spacing w:after="0"/>
        <w:jc w:val="both"/>
      </w:pPr>
      <w:r>
        <w:t xml:space="preserve">Hier ist das </w:t>
      </w:r>
      <w:r w:rsidR="00B45430">
        <w:t>komisch zugespitzte</w:t>
      </w:r>
      <w:r>
        <w:t xml:space="preserve"> Understatement unüberhörbar. Damit die Formulierung j</w:t>
      </w:r>
      <w:r>
        <w:t>e</w:t>
      </w:r>
      <w:r>
        <w:t xml:space="preserve">doch nicht missverstanden wird, fügt </w:t>
      </w:r>
      <w:proofErr w:type="spellStart"/>
      <w:r>
        <w:t>Olden</w:t>
      </w:r>
      <w:proofErr w:type="spellEnd"/>
      <w:r>
        <w:t xml:space="preserve"> einen weiten Satz an:</w:t>
      </w:r>
    </w:p>
    <w:p w:rsidR="007C7A08" w:rsidRDefault="007C7A08" w:rsidP="008B7447">
      <w:pPr>
        <w:spacing w:after="0"/>
        <w:ind w:left="1134"/>
        <w:jc w:val="both"/>
      </w:pPr>
      <w:r>
        <w:t>„Ein Land ohne Schriftsteller? Das könnte vielleicht angehen, obwohl nicht so leicht … Aber ein Land, das seine Schriftsteller gegen sich hat?“</w:t>
      </w:r>
      <w:r>
        <w:rPr>
          <w:rStyle w:val="Funotenzeichen"/>
        </w:rPr>
        <w:footnoteReference w:id="21"/>
      </w:r>
      <w:r>
        <w:t xml:space="preserve"> </w:t>
      </w:r>
    </w:p>
    <w:p w:rsidR="007C7A08" w:rsidRDefault="007C7A08" w:rsidP="008B7447">
      <w:pPr>
        <w:spacing w:after="0"/>
        <w:jc w:val="both"/>
      </w:pPr>
      <w:r>
        <w:t xml:space="preserve">Das ist eine der wenigen Stellen, </w:t>
      </w:r>
      <w:r w:rsidR="0036113B">
        <w:t xml:space="preserve">wo </w:t>
      </w:r>
      <w:proofErr w:type="spellStart"/>
      <w:r w:rsidR="0036113B">
        <w:t>Olden</w:t>
      </w:r>
      <w:proofErr w:type="spellEnd"/>
      <w:r w:rsidR="0036113B">
        <w:t xml:space="preserve"> – ohne hier allerdings Namen zu nennen – auf die klassische Tradition des Schriftstellerexils zu sprechen kommt: auf das Selbstverständnis pol</w:t>
      </w:r>
      <w:r w:rsidR="0036113B">
        <w:t>i</w:t>
      </w:r>
      <w:r w:rsidR="0036113B">
        <w:t>tische</w:t>
      </w:r>
      <w:r w:rsidR="00B45430">
        <w:t>r</w:t>
      </w:r>
      <w:r w:rsidR="0036113B">
        <w:t xml:space="preserve"> Oppositionelle</w:t>
      </w:r>
      <w:r w:rsidR="00B45430">
        <w:t>r</w:t>
      </w:r>
      <w:r w:rsidR="0036113B">
        <w:t xml:space="preserve"> wie Victor Hugo und Émile Zola.</w:t>
      </w:r>
    </w:p>
    <w:p w:rsidR="0085038F" w:rsidRDefault="0008730A" w:rsidP="008B7447">
      <w:pPr>
        <w:spacing w:after="0"/>
        <w:jc w:val="both"/>
      </w:pPr>
      <w:r>
        <w:tab/>
      </w:r>
      <w:r w:rsidR="0085038F">
        <w:t xml:space="preserve">Ausführlich und mit Wärme äußert sich </w:t>
      </w:r>
      <w:proofErr w:type="spellStart"/>
      <w:r w:rsidR="0085038F">
        <w:t>Olden</w:t>
      </w:r>
      <w:proofErr w:type="spellEnd"/>
      <w:r w:rsidR="0085038F">
        <w:t xml:space="preserve"> über die p</w:t>
      </w:r>
      <w:r w:rsidR="00B45430">
        <w:t>r</w:t>
      </w:r>
      <w:r w:rsidR="0085038F">
        <w:t>ol</w:t>
      </w:r>
      <w:r w:rsidR="00B45430">
        <w:t>etar</w:t>
      </w:r>
      <w:r w:rsidR="0085038F">
        <w:t>ische Emigration:</w:t>
      </w:r>
    </w:p>
    <w:p w:rsidR="0085038F" w:rsidRDefault="0085038F" w:rsidP="008B7447">
      <w:pPr>
        <w:spacing w:after="0"/>
        <w:ind w:left="1134"/>
        <w:jc w:val="both"/>
      </w:pPr>
      <w:r>
        <w:t xml:space="preserve">„Was die arische und proletarische Emigration angeht – die etwa ein Zehntel ausmacht – so ist ihr Fall […] </w:t>
      </w:r>
      <w:r w:rsidR="00343A84">
        <w:t xml:space="preserve">einfach. Die Reichsbanner- und Rot-Front-Männer, die vor oder nach dem Konzentrationslager aus Deutschland flohen, und ebenso die Parteiführer oder </w:t>
      </w:r>
      <w:r w:rsidR="00357C25">
        <w:t>-</w:t>
      </w:r>
      <w:r w:rsidR="00343A84">
        <w:t>unterführer, sind echte, rechte politi</w:t>
      </w:r>
      <w:r w:rsidR="00B45430">
        <w:t>s</w:t>
      </w:r>
      <w:r w:rsidR="00343A84">
        <w:t>che Emigranten, sie l</w:t>
      </w:r>
      <w:r w:rsidR="00343A84">
        <w:t>e</w:t>
      </w:r>
      <w:r w:rsidR="00343A84">
        <w:t>ben nur körperlich in den fremden Ländern, sie denken nur an die Heimat. Sie a</w:t>
      </w:r>
      <w:r w:rsidR="00343A84">
        <w:t>r</w:t>
      </w:r>
      <w:r w:rsidR="00343A84">
        <w:lastRenderedPageBreak/>
        <w:t>beiten für die Heimat, soweit die Parteien sie brauchen können. Sie sind Gäste in dem gastlichen Land, das sie aufnahm.“</w:t>
      </w:r>
      <w:r w:rsidR="00343A84">
        <w:rPr>
          <w:rStyle w:val="Funotenzeichen"/>
        </w:rPr>
        <w:footnoteReference w:id="22"/>
      </w:r>
    </w:p>
    <w:p w:rsidR="00DC16CA" w:rsidRDefault="0008730A" w:rsidP="008B7447">
      <w:pPr>
        <w:spacing w:after="0"/>
        <w:jc w:val="both"/>
      </w:pPr>
      <w:r>
        <w:t xml:space="preserve">Ausgesprochen kritisch </w:t>
      </w:r>
      <w:r w:rsidR="004D2BBE">
        <w:t xml:space="preserve">kommentieren </w:t>
      </w:r>
      <w:proofErr w:type="spellStart"/>
      <w:r w:rsidR="004D2BBE">
        <w:t>Ika</w:t>
      </w:r>
      <w:proofErr w:type="spellEnd"/>
      <w:r w:rsidR="004D2BBE">
        <w:t xml:space="preserve"> und Rudolf</w:t>
      </w:r>
      <w:r>
        <w:t xml:space="preserve"> </w:t>
      </w:r>
      <w:proofErr w:type="spellStart"/>
      <w:r>
        <w:t>Olden</w:t>
      </w:r>
      <w:proofErr w:type="spellEnd"/>
      <w:r>
        <w:t xml:space="preserve"> </w:t>
      </w:r>
      <w:r w:rsidR="00343A84">
        <w:t>jedoch die</w:t>
      </w:r>
      <w:r>
        <w:t xml:space="preserve"> Hoffnungen </w:t>
      </w:r>
      <w:r w:rsidR="00343A84">
        <w:t xml:space="preserve">dieser </w:t>
      </w:r>
      <w:r w:rsidR="004D2BBE">
        <w:t>Gruppe</w:t>
      </w:r>
      <w:r w:rsidR="00343A84">
        <w:t xml:space="preserve"> </w:t>
      </w:r>
      <w:r>
        <w:t xml:space="preserve">auf </w:t>
      </w:r>
      <w:r w:rsidR="00DC1803">
        <w:t>ein</w:t>
      </w:r>
      <w:r>
        <w:t xml:space="preserve">en </w:t>
      </w:r>
      <w:r w:rsidR="00DC1803">
        <w:t xml:space="preserve">baldigen </w:t>
      </w:r>
      <w:r>
        <w:t>Sturz de</w:t>
      </w:r>
      <w:r w:rsidR="00DC1803">
        <w:t>s</w:t>
      </w:r>
      <w:r>
        <w:t xml:space="preserve"> Hitler-Regi</w:t>
      </w:r>
      <w:r w:rsidR="00DC1803">
        <w:t>mes</w:t>
      </w:r>
      <w:r>
        <w:t xml:space="preserve">. </w:t>
      </w:r>
      <w:r w:rsidR="004D2BBE">
        <w:t>Für s</w:t>
      </w:r>
      <w:r>
        <w:t xml:space="preserve">ie leiden </w:t>
      </w:r>
      <w:r w:rsidR="004D2BBE">
        <w:t>die Angehörigen des Pa</w:t>
      </w:r>
      <w:r w:rsidR="004D2BBE">
        <w:t>r</w:t>
      </w:r>
      <w:r w:rsidR="004D2BBE">
        <w:t xml:space="preserve">teienexils </w:t>
      </w:r>
      <w:r>
        <w:t xml:space="preserve">unter Realitätsverlust. </w:t>
      </w:r>
      <w:r w:rsidR="00343A84">
        <w:t xml:space="preserve">Ohne dass </w:t>
      </w:r>
      <w:r w:rsidR="00D6316E">
        <w:t>sie</w:t>
      </w:r>
      <w:r w:rsidR="00343A84">
        <w:t xml:space="preserve"> die KPD namentlich nenn</w:t>
      </w:r>
      <w:r w:rsidR="00D6316E">
        <w:t>en</w:t>
      </w:r>
      <w:r w:rsidR="00343A84">
        <w:t>, spr</w:t>
      </w:r>
      <w:r w:rsidR="00D6316E">
        <w:t>e</w:t>
      </w:r>
      <w:r w:rsidR="00343A84">
        <w:t>che</w:t>
      </w:r>
      <w:r w:rsidR="00D6316E">
        <w:t>n sie</w:t>
      </w:r>
      <w:r w:rsidR="00343A84">
        <w:t xml:space="preserve"> sie indirekt an</w:t>
      </w:r>
      <w:r w:rsidR="004D2BBE">
        <w:t>, indem</w:t>
      </w:r>
      <w:r w:rsidR="00D6316E">
        <w:t xml:space="preserve"> sie</w:t>
      </w:r>
      <w:r w:rsidR="004D2BBE">
        <w:t xml:space="preserve"> </w:t>
      </w:r>
      <w:r w:rsidR="00D6316E">
        <w:t>die</w:t>
      </w:r>
      <w:r w:rsidR="004D2BBE">
        <w:t xml:space="preserve"> Erwartung einer unmittelbar bevorstehenden „Revolution“ erwä</w:t>
      </w:r>
      <w:r w:rsidR="004D2BBE">
        <w:t>h</w:t>
      </w:r>
      <w:r w:rsidR="004D2BBE">
        <w:t>n</w:t>
      </w:r>
      <w:r w:rsidR="00D6316E">
        <w:t>en</w:t>
      </w:r>
      <w:r w:rsidR="004D2BBE">
        <w:t xml:space="preserve">. </w:t>
      </w:r>
      <w:r w:rsidR="00D6316E">
        <w:t xml:space="preserve">Der Spott des Ehepaars </w:t>
      </w:r>
      <w:proofErr w:type="spellStart"/>
      <w:r w:rsidR="00D6316E">
        <w:t>Olden</w:t>
      </w:r>
      <w:proofErr w:type="spellEnd"/>
      <w:r w:rsidR="00D6316E">
        <w:t xml:space="preserve"> wird nur durch die Behutsamkeit der Formulierung </w:t>
      </w:r>
      <w:proofErr w:type="gramStart"/>
      <w:r w:rsidR="00D6316E">
        <w:t>ve</w:t>
      </w:r>
      <w:r w:rsidR="00D6316E">
        <w:t>r</w:t>
      </w:r>
      <w:r w:rsidR="00D6316E">
        <w:t xml:space="preserve">deckt </w:t>
      </w:r>
      <w:r>
        <w:t>:</w:t>
      </w:r>
      <w:proofErr w:type="gramEnd"/>
      <w:r>
        <w:t xml:space="preserve"> </w:t>
      </w:r>
    </w:p>
    <w:p w:rsidR="0008730A" w:rsidRDefault="0008730A" w:rsidP="008B7447">
      <w:pPr>
        <w:spacing w:after="0"/>
        <w:ind w:left="1134"/>
        <w:jc w:val="both"/>
      </w:pPr>
      <w:r>
        <w:t xml:space="preserve">„Es scheint nicht, </w:t>
      </w:r>
      <w:proofErr w:type="spellStart"/>
      <w:r>
        <w:t>daß</w:t>
      </w:r>
      <w:proofErr w:type="spellEnd"/>
      <w:r>
        <w:t xml:space="preserve"> </w:t>
      </w:r>
      <w:proofErr w:type="gramStart"/>
      <w:r>
        <w:t>zur Zeit</w:t>
      </w:r>
      <w:proofErr w:type="gramEnd"/>
      <w:r>
        <w:t xml:space="preserve"> die proletarische Revolution irgendwo eine Gefahr oder – je nach dem Standpunkt – eine Hoffnung ist.“</w:t>
      </w:r>
      <w:r>
        <w:rPr>
          <w:rStyle w:val="Funotenzeichen"/>
        </w:rPr>
        <w:footnoteReference w:id="23"/>
      </w:r>
    </w:p>
    <w:p w:rsidR="0008730A" w:rsidRDefault="0008730A" w:rsidP="008B7447">
      <w:pPr>
        <w:spacing w:after="0"/>
        <w:jc w:val="both"/>
        <w:rPr>
          <w:b/>
        </w:rPr>
      </w:pPr>
      <w:r>
        <w:t>Ganz ähnlich urteil</w:t>
      </w:r>
      <w:r w:rsidR="00D6316E">
        <w:t xml:space="preserve">en sie </w:t>
      </w:r>
      <w:r>
        <w:t xml:space="preserve">auch über die </w:t>
      </w:r>
      <w:r w:rsidRPr="0008730A">
        <w:t>SPD</w:t>
      </w:r>
      <w:r>
        <w:t xml:space="preserve"> (</w:t>
      </w:r>
      <w:proofErr w:type="spellStart"/>
      <w:r>
        <w:t>Sopade</w:t>
      </w:r>
      <w:proofErr w:type="spellEnd"/>
      <w:r>
        <w:t>)</w:t>
      </w:r>
      <w:r w:rsidRPr="0008730A">
        <w:t>:</w:t>
      </w:r>
      <w:r>
        <w:rPr>
          <w:b/>
        </w:rPr>
        <w:t xml:space="preserve"> </w:t>
      </w:r>
    </w:p>
    <w:p w:rsidR="0008730A" w:rsidRDefault="0008730A" w:rsidP="008B7447">
      <w:pPr>
        <w:spacing w:after="0"/>
        <w:ind w:left="1134"/>
        <w:jc w:val="both"/>
      </w:pPr>
      <w:r>
        <w:t xml:space="preserve">„Referieren wir, </w:t>
      </w:r>
      <w:proofErr w:type="spellStart"/>
      <w:r>
        <w:t>daß</w:t>
      </w:r>
      <w:proofErr w:type="spellEnd"/>
      <w:r>
        <w:t xml:space="preserve"> es in Prag eine Art von Verein </w:t>
      </w:r>
      <w:r w:rsidR="00D6316E">
        <w:t xml:space="preserve">[!] </w:t>
      </w:r>
      <w:r>
        <w:t>gibt, der sich ‚Soziald</w:t>
      </w:r>
      <w:r>
        <w:t>e</w:t>
      </w:r>
      <w:r>
        <w:t xml:space="preserve">mokratischer Parteivorstand‘ nennen soll. Wie weit </w:t>
      </w:r>
      <w:proofErr w:type="gramStart"/>
      <w:r>
        <w:t>reicht</w:t>
      </w:r>
      <w:proofErr w:type="gramEnd"/>
      <w:r>
        <w:t xml:space="preserve"> seine Macht und sein </w:t>
      </w:r>
      <w:proofErr w:type="spellStart"/>
      <w:r>
        <w:t>Einfluß</w:t>
      </w:r>
      <w:proofErr w:type="spellEnd"/>
      <w:r>
        <w:t>? Nicht einmal bis Paris.“</w:t>
      </w:r>
    </w:p>
    <w:p w:rsidR="0008730A" w:rsidRDefault="0008730A" w:rsidP="008B7447">
      <w:pPr>
        <w:spacing w:after="0"/>
        <w:jc w:val="both"/>
      </w:pPr>
      <w:r>
        <w:t xml:space="preserve">Sozialdemokratische Emigranten in Paris haben nach Neuwahlen verlangt: </w:t>
      </w:r>
    </w:p>
    <w:p w:rsidR="0008730A" w:rsidRPr="004173DA" w:rsidRDefault="0008730A" w:rsidP="008B7447">
      <w:pPr>
        <w:spacing w:after="0"/>
        <w:ind w:left="1134"/>
        <w:jc w:val="both"/>
      </w:pPr>
      <w:r>
        <w:t>„Herr Wels, der Vorsitzende, aber soll auf dem Standpunkt stehen, er könne nur in Deutschland abgesetzt werden. Er betrachtet sich als unabsetzbar, wie der Dalai Lama</w:t>
      </w:r>
      <w:r w:rsidR="00D6316E">
        <w:t xml:space="preserve"> [!]</w:t>
      </w:r>
      <w:r>
        <w:t>. Für die Angelegenheiten Europas ist der Dalai Lama wichtiger als Herr Wels.“</w:t>
      </w:r>
      <w:r>
        <w:rPr>
          <w:rStyle w:val="Funotenzeichen"/>
        </w:rPr>
        <w:footnoteReference w:id="24"/>
      </w:r>
      <w:r>
        <w:t xml:space="preserve"> </w:t>
      </w:r>
    </w:p>
    <w:p w:rsidR="00D6316E" w:rsidRDefault="003F5DEA" w:rsidP="008B7447">
      <w:pPr>
        <w:spacing w:after="0"/>
        <w:jc w:val="both"/>
      </w:pPr>
      <w:r>
        <w:t>Das ist ein sarkastisches, keineswegs unberechtigtes Urteil.</w:t>
      </w:r>
      <w:r w:rsidR="00343A84">
        <w:t xml:space="preserve"> </w:t>
      </w:r>
    </w:p>
    <w:p w:rsidR="00DC16CA" w:rsidRDefault="00343A84" w:rsidP="008B7447">
      <w:pPr>
        <w:spacing w:after="0"/>
        <w:ind w:firstLine="708"/>
        <w:jc w:val="both"/>
      </w:pPr>
      <w:r>
        <w:t xml:space="preserve">Immer wieder </w:t>
      </w:r>
      <w:r w:rsidR="00D6316E">
        <w:t xml:space="preserve">wird vom Ehepaar </w:t>
      </w:r>
      <w:proofErr w:type="spellStart"/>
      <w:r w:rsidR="00D6316E">
        <w:t>Olden</w:t>
      </w:r>
      <w:proofErr w:type="spellEnd"/>
      <w:r>
        <w:t xml:space="preserve"> eine realitätsbezogene Beurteilung der Lage und ihrer Entwicklung an</w:t>
      </w:r>
      <w:r w:rsidR="00D6316E">
        <w:t>gemahnt. Die Parteiführer sind jedoch nicht realitätsbewusst, so</w:t>
      </w:r>
      <w:r w:rsidR="00D6316E">
        <w:t>n</w:t>
      </w:r>
      <w:r w:rsidR="00D6316E">
        <w:t>dern allenfalls „müde“:</w:t>
      </w:r>
    </w:p>
    <w:p w:rsidR="00343A84" w:rsidRDefault="00343A84" w:rsidP="008B7447">
      <w:pPr>
        <w:spacing w:after="0"/>
        <w:ind w:left="1134"/>
        <w:jc w:val="both"/>
      </w:pPr>
      <w:r>
        <w:t>„Eine Emigration ist eine lange, traurige S</w:t>
      </w:r>
      <w:r w:rsidR="0036113B">
        <w:t>a</w:t>
      </w:r>
      <w:r>
        <w:t xml:space="preserve">che. Und je länger sie dauert, desto trauriger wird sie. Ein </w:t>
      </w:r>
      <w:r w:rsidR="0036113B">
        <w:t>J</w:t>
      </w:r>
      <w:r>
        <w:t xml:space="preserve">ahr ist nichts in der Geschichte einer Emigration. Wenn Hitler nicht ein Wunder der Dummheit tut, so wird dieses Jahr nur eines von sehr vielen sein. Bei allen Emigrationen kommt der Zeitpunkt, </w:t>
      </w:r>
      <w:r w:rsidR="00B97E56">
        <w:t>[a]</w:t>
      </w:r>
      <w:r>
        <w:t xml:space="preserve">n dem die </w:t>
      </w:r>
      <w:r w:rsidR="00B97E56">
        <w:t>Emigra</w:t>
      </w:r>
      <w:r w:rsidR="00B97E56">
        <w:t>n</w:t>
      </w:r>
      <w:r w:rsidR="00B97E56">
        <w:t>ten müde werden und alt, und während sie sich früher nicht genug ihrer revoluti</w:t>
      </w:r>
      <w:r w:rsidR="00B97E56">
        <w:t>o</w:t>
      </w:r>
      <w:r w:rsidR="00B97E56">
        <w:t xml:space="preserve">nären Taten und Gedanken rühmen konnten, kommt der Augenblick, in dem der Rest ihres Ehrgeizes sich darauf richtet zu beweisen, </w:t>
      </w:r>
      <w:proofErr w:type="spellStart"/>
      <w:r w:rsidR="00B97E56">
        <w:t>daß</w:t>
      </w:r>
      <w:proofErr w:type="spellEnd"/>
      <w:r w:rsidR="00B97E56">
        <w:t xml:space="preserve"> sie immer unschuldige Lämmer gewesen sind. […] Es mögen wohl von den Parteiführern schon heute manche müde sein. Es sind die, die schon früher müde waren, deren Müdigkeit schuld daran war, </w:t>
      </w:r>
      <w:proofErr w:type="spellStart"/>
      <w:r w:rsidR="00B97E56">
        <w:t>daß</w:t>
      </w:r>
      <w:proofErr w:type="spellEnd"/>
      <w:r w:rsidR="00B97E56">
        <w:t xml:space="preserve"> Hitler ohne Widerstand gesiegt hat.“</w:t>
      </w:r>
      <w:r w:rsidR="00B97E56">
        <w:rPr>
          <w:rStyle w:val="Funotenzeichen"/>
        </w:rPr>
        <w:footnoteReference w:id="25"/>
      </w:r>
    </w:p>
    <w:p w:rsidR="00206CC6" w:rsidRDefault="0036113B" w:rsidP="008B7447">
      <w:pPr>
        <w:spacing w:after="0"/>
        <w:jc w:val="both"/>
      </w:pPr>
      <w:r>
        <w:t xml:space="preserve">Es ist für </w:t>
      </w:r>
      <w:r w:rsidR="00D6316E">
        <w:t xml:space="preserve">das Ehepaar </w:t>
      </w:r>
      <w:proofErr w:type="spellStart"/>
      <w:r>
        <w:t>Olden</w:t>
      </w:r>
      <w:proofErr w:type="spellEnd"/>
      <w:r>
        <w:t xml:space="preserve"> </w:t>
      </w:r>
      <w:r w:rsidR="00FC2070">
        <w:t>s</w:t>
      </w:r>
      <w:r>
        <w:t>elbstverständlich, dass Widerstand gegen Hitler geleistet we</w:t>
      </w:r>
      <w:r>
        <w:t>r</w:t>
      </w:r>
      <w:r>
        <w:t xml:space="preserve">den muss. Aber ebenso, wie </w:t>
      </w:r>
      <w:r w:rsidR="00D6316E">
        <w:t xml:space="preserve">sie </w:t>
      </w:r>
      <w:r>
        <w:t>Passivität, „Müdigkeit“, für nicht entschuldbar h</w:t>
      </w:r>
      <w:r w:rsidR="00D6316E">
        <w:t>a</w:t>
      </w:r>
      <w:r>
        <w:t>lt</w:t>
      </w:r>
      <w:r w:rsidR="00D6316E">
        <w:t>en</w:t>
      </w:r>
      <w:r>
        <w:t xml:space="preserve">, so auch </w:t>
      </w:r>
      <w:r w:rsidR="00D6316E">
        <w:t>ein</w:t>
      </w:r>
      <w:r>
        <w:t>en allzu kurzsichtigen Aktionismus, dem viele der politischen Emigranten nach Auffa</w:t>
      </w:r>
      <w:r>
        <w:t>s</w:t>
      </w:r>
      <w:r>
        <w:t xml:space="preserve">sung </w:t>
      </w:r>
      <w:r w:rsidR="00D6316E">
        <w:t xml:space="preserve">des Ehepaars </w:t>
      </w:r>
      <w:r>
        <w:t xml:space="preserve">unterliegen. </w:t>
      </w:r>
    </w:p>
    <w:p w:rsidR="0036113B" w:rsidRDefault="0036113B" w:rsidP="008B7447">
      <w:pPr>
        <w:spacing w:after="0"/>
        <w:jc w:val="both"/>
      </w:pPr>
    </w:p>
    <w:p w:rsidR="00206CC6" w:rsidRDefault="003F5DEA" w:rsidP="008B7447">
      <w:pPr>
        <w:spacing w:after="0"/>
        <w:jc w:val="both"/>
      </w:pPr>
      <w:r>
        <w:tab/>
      </w:r>
      <w:r w:rsidR="00D6316E">
        <w:t xml:space="preserve">Das Ehepaar </w:t>
      </w:r>
      <w:proofErr w:type="spellStart"/>
      <w:r>
        <w:t>Olden</w:t>
      </w:r>
      <w:proofErr w:type="spellEnd"/>
      <w:r>
        <w:t xml:space="preserve"> beschäftigt sich jedoch nicht nur mit den differenten Bewuss</w:t>
      </w:r>
      <w:r>
        <w:t>t</w:t>
      </w:r>
      <w:r>
        <w:t xml:space="preserve">seinshaltungen des Exils, mit humanitären Fragen, insbesondere mit der </w:t>
      </w:r>
      <w:r w:rsidR="00D6316E">
        <w:t>Tätigk</w:t>
      </w:r>
      <w:r>
        <w:t>eit der jüd</w:t>
      </w:r>
      <w:r>
        <w:t>i</w:t>
      </w:r>
      <w:r>
        <w:t>schen Hilfskomitees, sonder</w:t>
      </w:r>
      <w:r w:rsidR="0036113B">
        <w:t>n</w:t>
      </w:r>
      <w:r>
        <w:t xml:space="preserve"> e</w:t>
      </w:r>
      <w:r w:rsidR="00D6316E">
        <w:t>s</w:t>
      </w:r>
      <w:r>
        <w:t xml:space="preserve"> fragt – vorausschauend –, ob die deutsche Emigration für die </w:t>
      </w:r>
      <w:r>
        <w:lastRenderedPageBreak/>
        <w:t xml:space="preserve">Aufnahmeländer nicht auch einen Nutzen bedeuten könne. Die Leitfrage ist: </w:t>
      </w:r>
      <w:r w:rsidR="00FC2070">
        <w:t>‚</w:t>
      </w:r>
      <w:r>
        <w:t>Essen die Emi</w:t>
      </w:r>
      <w:r>
        <w:t>g</w:t>
      </w:r>
      <w:r>
        <w:t>ranten nur Brot oder schaffen sich auch welches</w:t>
      </w:r>
      <w:proofErr w:type="gramStart"/>
      <w:r>
        <w:t>?</w:t>
      </w:r>
      <w:r w:rsidR="00FC2070">
        <w:t>‘</w:t>
      </w:r>
      <w:proofErr w:type="gramEnd"/>
      <w:r>
        <w:rPr>
          <w:rStyle w:val="Funotenzeichen"/>
        </w:rPr>
        <w:footnoteReference w:id="26"/>
      </w:r>
      <w:r>
        <w:t xml:space="preserve"> </w:t>
      </w:r>
      <w:proofErr w:type="spellStart"/>
      <w:r w:rsidR="00D6316E">
        <w:t>Ika</w:t>
      </w:r>
      <w:proofErr w:type="spellEnd"/>
      <w:r w:rsidR="00D6316E">
        <w:t xml:space="preserve"> und Rudolf </w:t>
      </w:r>
      <w:proofErr w:type="spellStart"/>
      <w:r>
        <w:t>Olden</w:t>
      </w:r>
      <w:proofErr w:type="spellEnd"/>
      <w:r>
        <w:t xml:space="preserve"> </w:t>
      </w:r>
      <w:r w:rsidR="00D6316E">
        <w:t xml:space="preserve">gehören zu den </w:t>
      </w:r>
      <w:r>
        <w:t>Ersten, d</w:t>
      </w:r>
      <w:r w:rsidR="00D6316E">
        <w:t>i</w:t>
      </w:r>
      <w:r>
        <w:t>e erkenn</w:t>
      </w:r>
      <w:r w:rsidR="00D6316E">
        <w:t>en</w:t>
      </w:r>
      <w:r>
        <w:t xml:space="preserve">, dass der Wissenstransfer, der sich </w:t>
      </w:r>
      <w:r w:rsidR="002949B7">
        <w:t xml:space="preserve">durch die Emigration </w:t>
      </w:r>
      <w:r>
        <w:t xml:space="preserve">vollzieht, </w:t>
      </w:r>
      <w:r w:rsidR="002949B7">
        <w:t>lan</w:t>
      </w:r>
      <w:r w:rsidR="002949B7">
        <w:t>g</w:t>
      </w:r>
      <w:r w:rsidR="002949B7">
        <w:t xml:space="preserve">fristig </w:t>
      </w:r>
      <w:r>
        <w:t xml:space="preserve">den Aufnahmeländern von außerordentlichem Vorteil sein wird. Deutschland erleidet durch die Vertreibung </w:t>
      </w:r>
      <w:r w:rsidR="00FC2070">
        <w:t>s</w:t>
      </w:r>
      <w:r>
        <w:t>einer Elite</w:t>
      </w:r>
      <w:r w:rsidR="00FC2070">
        <w:t>n</w:t>
      </w:r>
      <w:r>
        <w:t xml:space="preserve"> außerordentliche Verluste. </w:t>
      </w:r>
      <w:proofErr w:type="spellStart"/>
      <w:r w:rsidR="002949B7">
        <w:t>Ika</w:t>
      </w:r>
      <w:proofErr w:type="spellEnd"/>
      <w:r w:rsidR="002949B7">
        <w:t xml:space="preserve"> und Rudolf </w:t>
      </w:r>
      <w:proofErr w:type="spellStart"/>
      <w:r>
        <w:t>Olden</w:t>
      </w:r>
      <w:proofErr w:type="spellEnd"/>
      <w:r>
        <w:t xml:space="preserve"> zitier</w:t>
      </w:r>
      <w:r w:rsidR="002949B7">
        <w:t>en hierzu</w:t>
      </w:r>
      <w:r>
        <w:t xml:space="preserve"> einen ungenannten Emigranten:</w:t>
      </w:r>
    </w:p>
    <w:p w:rsidR="003F5DEA" w:rsidRDefault="006C141C" w:rsidP="008B7447">
      <w:pPr>
        <w:spacing w:after="0"/>
        <w:ind w:left="1134"/>
        <w:jc w:val="both"/>
      </w:pPr>
      <w:r>
        <w:t xml:space="preserve">„Die Göttinger </w:t>
      </w:r>
      <w:proofErr w:type="spellStart"/>
      <w:r>
        <w:t>Mathematikerschule</w:t>
      </w:r>
      <w:proofErr w:type="spellEnd"/>
      <w:r>
        <w:t xml:space="preserve"> ist zerstört. Die ökonomischen Schulen von Frankfurt, Heidelberg, Kiel sind auseinandergesprengt. Aus den naturwisse</w:t>
      </w:r>
      <w:r>
        <w:t>n</w:t>
      </w:r>
      <w:r>
        <w:t xml:space="preserve">schaftlichen Instituten der Kaiser-Wilhelm-Gesellschaft sind die jüngeren und mittleren Kräfte verjagt, die wahren Träger der konstruktiven Arbeit. Es hieße zu roh, zu rational rechnen, wenn man nachwiese, </w:t>
      </w:r>
      <w:proofErr w:type="spellStart"/>
      <w:r>
        <w:t>daß</w:t>
      </w:r>
      <w:proofErr w:type="spellEnd"/>
      <w:r>
        <w:t xml:space="preserve"> hinter jedem Vertriebenen ein Ersatzmann bereitstand. Mit der Zerstörung wissenschaftlicher Gemeinschaften, die sich nicht zufällig gebildet hatten, ist Unwiederbringliches verloren worden. Der Geist, der hier waltete, konnte der Rohheit des Eingriffs nicht standhalten.“</w:t>
      </w:r>
      <w:r>
        <w:rPr>
          <w:rStyle w:val="Funotenzeichen"/>
        </w:rPr>
        <w:footnoteReference w:id="27"/>
      </w:r>
      <w:r>
        <w:t xml:space="preserve"> </w:t>
      </w:r>
    </w:p>
    <w:p w:rsidR="00206CC6" w:rsidRDefault="006C141C" w:rsidP="008B7447">
      <w:pPr>
        <w:spacing w:after="0"/>
        <w:jc w:val="both"/>
      </w:pPr>
      <w:r>
        <w:t xml:space="preserve">Dass Diagnose zutreffend ist, ist aus heutiger Sicht keine Frage mehr. </w:t>
      </w:r>
      <w:r w:rsidR="002949B7">
        <w:t xml:space="preserve">Für </w:t>
      </w:r>
      <w:proofErr w:type="spellStart"/>
      <w:r w:rsidR="002949B7">
        <w:t>Ika</w:t>
      </w:r>
      <w:proofErr w:type="spellEnd"/>
      <w:r w:rsidR="002949B7">
        <w:t xml:space="preserve"> und Rudolf </w:t>
      </w:r>
      <w:proofErr w:type="spellStart"/>
      <w:r w:rsidR="002949B7">
        <w:t>Olden</w:t>
      </w:r>
      <w:proofErr w:type="spellEnd"/>
      <w:r w:rsidR="002949B7">
        <w:t xml:space="preserve"> ist jedoch mit der Erkenntnis, dass der Wissenstransfer einen ungeheuren Wert da</w:t>
      </w:r>
      <w:r w:rsidR="002949B7">
        <w:t>r</w:t>
      </w:r>
      <w:r w:rsidR="002949B7">
        <w:t xml:space="preserve">stellt, </w:t>
      </w:r>
      <w:r>
        <w:t xml:space="preserve">kein Ausweg aus der </w:t>
      </w:r>
      <w:r w:rsidR="002949B7">
        <w:t>aktuell</w:t>
      </w:r>
      <w:r>
        <w:t xml:space="preserve">en </w:t>
      </w:r>
      <w:r w:rsidR="002949B7">
        <w:t>Nots</w:t>
      </w:r>
      <w:r>
        <w:t xml:space="preserve">ituation verbunden. Für </w:t>
      </w:r>
      <w:r w:rsidR="002949B7">
        <w:t>sie</w:t>
      </w:r>
      <w:r>
        <w:t xml:space="preserve"> ist bereits jetzt klar e</w:t>
      </w:r>
      <w:r>
        <w:t>r</w:t>
      </w:r>
      <w:r w:rsidR="00FC2070">
        <w:t>sichtlich</w:t>
      </w:r>
      <w:r>
        <w:t xml:space="preserve">, dass die potentiellen Aufnahmeländer die Chance, die für sie </w:t>
      </w:r>
      <w:r w:rsidR="002949B7">
        <w:t>aus dieser Situation erwächs</w:t>
      </w:r>
      <w:r>
        <w:t xml:space="preserve">t, nicht rechtzeitig erkennen werden. </w:t>
      </w:r>
      <w:r w:rsidR="00FC2070">
        <w:t>Desweiteren</w:t>
      </w:r>
      <w:r>
        <w:t xml:space="preserve"> seh</w:t>
      </w:r>
      <w:r w:rsidR="002949B7">
        <w:t>en sie</w:t>
      </w:r>
      <w:r w:rsidR="00FC2070">
        <w:t xml:space="preserve"> </w:t>
      </w:r>
      <w:r>
        <w:t>voraus, dass alle Initiat</w:t>
      </w:r>
      <w:r>
        <w:t>i</w:t>
      </w:r>
      <w:r>
        <w:t>ven des Völkerbundes und seines Hohen Kommissars scheitern werden. Allerdings formuli</w:t>
      </w:r>
      <w:r>
        <w:t>e</w:t>
      </w:r>
      <w:r>
        <w:t>r</w:t>
      </w:r>
      <w:r w:rsidR="002949B7">
        <w:t xml:space="preserve">en </w:t>
      </w:r>
      <w:proofErr w:type="spellStart"/>
      <w:r w:rsidR="002949B7">
        <w:t>Ika</w:t>
      </w:r>
      <w:proofErr w:type="spellEnd"/>
      <w:r w:rsidR="002949B7">
        <w:t xml:space="preserve"> und Rudolf</w:t>
      </w:r>
      <w:r>
        <w:t xml:space="preserve"> </w:t>
      </w:r>
      <w:proofErr w:type="spellStart"/>
      <w:r>
        <w:t>Olden</w:t>
      </w:r>
      <w:proofErr w:type="spellEnd"/>
      <w:r>
        <w:t xml:space="preserve"> dieses Urteil in </w:t>
      </w:r>
      <w:r w:rsidR="002949B7">
        <w:t xml:space="preserve">der </w:t>
      </w:r>
      <w:r>
        <w:t xml:space="preserve">Form eines guten Wunsches, den </w:t>
      </w:r>
      <w:r w:rsidR="002949B7">
        <w:t>sie</w:t>
      </w:r>
      <w:r>
        <w:t xml:space="preserve"> an James McDonald</w:t>
      </w:r>
      <w:r w:rsidR="00FC2070">
        <w:t xml:space="preserve">, den Hohen Kommissar, </w:t>
      </w:r>
      <w:r>
        <w:t>richte</w:t>
      </w:r>
      <w:r w:rsidR="002949B7">
        <w:t>n. Auch hier formulieren sie zunächst das Positive</w:t>
      </w:r>
      <w:r>
        <w:t>:</w:t>
      </w:r>
    </w:p>
    <w:p w:rsidR="006C141C" w:rsidRDefault="006C141C" w:rsidP="008B7447">
      <w:pPr>
        <w:spacing w:after="0"/>
        <w:ind w:left="1134"/>
        <w:jc w:val="both"/>
      </w:pPr>
      <w:r>
        <w:t xml:space="preserve">„Der Emigration einen großen Chef zu geben, einen Fürsorger, Vertreter und Verwalter, einen Mann in offizieller Stellung und mit hohem Rang als Schützer an ihre Spitze zu stellen – das war ein bestechender Gedanke.“ </w:t>
      </w:r>
      <w:r>
        <w:rPr>
          <w:rStyle w:val="Funotenzeichen"/>
        </w:rPr>
        <w:footnoteReference w:id="28"/>
      </w:r>
    </w:p>
    <w:p w:rsidR="006C141C" w:rsidRPr="004173DA" w:rsidRDefault="006C141C" w:rsidP="008B7447">
      <w:pPr>
        <w:spacing w:after="0"/>
        <w:ind w:left="1134"/>
        <w:jc w:val="both"/>
      </w:pPr>
      <w:r>
        <w:t>„Ihm selbst ist die Wahl gestellt, welchen Weg er gehen will: den der Diplomatie, der freundlichen Überredung, versucht an Vertretern der Regierungen – oder den anderen des mächtig tönenden Appells und Protestes, gerichtet an die Gesamtheit der Völker. Nur, da wir glauben</w:t>
      </w:r>
      <w:r w:rsidR="00FC2070">
        <w:t>,</w:t>
      </w:r>
      <w:r>
        <w:t xml:space="preserve"> </w:t>
      </w:r>
      <w:proofErr w:type="spellStart"/>
      <w:r>
        <w:t>daß</w:t>
      </w:r>
      <w:proofErr w:type="spellEnd"/>
      <w:r>
        <w:t xml:space="preserve"> er auf dem ersten nicht weiter kommen wird, hoffen wir, </w:t>
      </w:r>
      <w:proofErr w:type="spellStart"/>
      <w:r>
        <w:t>daß</w:t>
      </w:r>
      <w:proofErr w:type="spellEnd"/>
      <w:r>
        <w:t xml:space="preserve"> er den zweiten mit innerer Kraft und heftigen Aplomb beschreiten wird. Wir wünschen ihm Rücksichtslosigkeit, Intransigenz, unbeugsames Recht</w:t>
      </w:r>
      <w:r>
        <w:t>s</w:t>
      </w:r>
      <w:r>
        <w:t>gefühl und das Genie des großen Agitators.“</w:t>
      </w:r>
      <w:r>
        <w:rPr>
          <w:rStyle w:val="Funotenzeichen"/>
        </w:rPr>
        <w:footnoteReference w:id="29"/>
      </w:r>
      <w:r>
        <w:t xml:space="preserve"> </w:t>
      </w:r>
    </w:p>
    <w:p w:rsidR="006C141C" w:rsidRDefault="0085038F" w:rsidP="008B7447">
      <w:pPr>
        <w:spacing w:after="0"/>
        <w:jc w:val="both"/>
      </w:pPr>
      <w:r>
        <w:t xml:space="preserve">Dass dieser Wunsch vermutlich vergeblich ist und </w:t>
      </w:r>
      <w:proofErr w:type="spellStart"/>
      <w:r w:rsidR="002949B7">
        <w:t>Ika</w:t>
      </w:r>
      <w:proofErr w:type="spellEnd"/>
      <w:r w:rsidR="002949B7">
        <w:t xml:space="preserve"> und Rudolf </w:t>
      </w:r>
      <w:proofErr w:type="spellStart"/>
      <w:r>
        <w:t>Olden</w:t>
      </w:r>
      <w:proofErr w:type="spellEnd"/>
      <w:r>
        <w:t xml:space="preserve"> sich dieser Tatsache bewusst </w:t>
      </w:r>
      <w:r w:rsidR="002949B7">
        <w:t>sind</w:t>
      </w:r>
      <w:r>
        <w:t>, darf unterstell</w:t>
      </w:r>
      <w:r w:rsidR="002949B7">
        <w:t>t werden</w:t>
      </w:r>
      <w:r>
        <w:t>.</w:t>
      </w:r>
    </w:p>
    <w:p w:rsidR="00712A43" w:rsidRDefault="00712A43" w:rsidP="008B7447">
      <w:pPr>
        <w:spacing w:after="0"/>
        <w:jc w:val="both"/>
      </w:pPr>
    </w:p>
    <w:p w:rsidR="00712A43" w:rsidRDefault="00712A43" w:rsidP="008B7447">
      <w:pPr>
        <w:spacing w:after="0"/>
        <w:ind w:firstLine="708"/>
        <w:jc w:val="both"/>
      </w:pPr>
      <w:r>
        <w:t xml:space="preserve">Nachdem </w:t>
      </w:r>
      <w:proofErr w:type="spellStart"/>
      <w:r>
        <w:t>Ika</w:t>
      </w:r>
      <w:proofErr w:type="spellEnd"/>
      <w:r>
        <w:t xml:space="preserve"> und Rudolf </w:t>
      </w:r>
      <w:proofErr w:type="spellStart"/>
      <w:r>
        <w:t>Olden</w:t>
      </w:r>
      <w:proofErr w:type="spellEnd"/>
      <w:r>
        <w:t xml:space="preserve"> in zwölf von den insgesamt achtzehn Kapiteln ihres B</w:t>
      </w:r>
      <w:r w:rsidR="006E1A82">
        <w:t>uch</w:t>
      </w:r>
      <w:r>
        <w:t>s ausführlich über das Leben der Pariser Emigranten berichtet haben, kommen sie im 13. Kapitel auf den Briefwechsel zwischen Klaus Mann und Gottfried Benn sprechen. Der A</w:t>
      </w:r>
      <w:r>
        <w:t>n</w:t>
      </w:r>
      <w:r>
        <w:t>lass, speziell auf die Äußerungen Gottfried Benns näher einzugehen, ist die Notwendigkeit einer Klarstellung:</w:t>
      </w:r>
    </w:p>
    <w:p w:rsidR="00712A43" w:rsidRDefault="00712A43" w:rsidP="008B7447">
      <w:pPr>
        <w:spacing w:after="0"/>
        <w:ind w:left="1134"/>
        <w:jc w:val="both"/>
      </w:pPr>
      <w:r>
        <w:lastRenderedPageBreak/>
        <w:t>„Am Anfang der Emigration wechselten Klaus Mann […] und der gleichgescha</w:t>
      </w:r>
      <w:r>
        <w:t>l</w:t>
      </w:r>
      <w:r>
        <w:t>tete Dichter Gottfried Benn offene Briefe.</w:t>
      </w:r>
    </w:p>
    <w:p w:rsidR="00712A43" w:rsidRDefault="00712A43" w:rsidP="008B7447">
      <w:pPr>
        <w:spacing w:after="0"/>
        <w:ind w:left="1134"/>
        <w:jc w:val="both"/>
      </w:pPr>
      <w:r>
        <w:t>Herr Benn sprach damals von den giftmischenden Emigranten, die in den Luxu</w:t>
      </w:r>
      <w:r>
        <w:t>s</w:t>
      </w:r>
      <w:r>
        <w:t>orten der Riviera, fern den nationalen Kämpfen, ein Drohnendasein führten. So dem Sinne nach. Herr Goebbels spricht gelegentlich ebenso oder ähnlich.</w:t>
      </w:r>
    </w:p>
    <w:p w:rsidR="00712A43" w:rsidRDefault="00712A43" w:rsidP="008B7447">
      <w:pPr>
        <w:spacing w:after="0"/>
        <w:ind w:left="1134"/>
        <w:jc w:val="both"/>
      </w:pPr>
      <w:r>
        <w:t>Nein, Herr Dichter, nein, Herr Minister, es ist nicht so, und wie könnte es so sein? Sondern Emigration ist zunächst einmal Elend. Und für die deutsche Emigration von 1933 hat das Elend erst begonnen.</w:t>
      </w:r>
    </w:p>
    <w:p w:rsidR="00712A43" w:rsidRDefault="00712A43" w:rsidP="008B7447">
      <w:pPr>
        <w:spacing w:after="0"/>
        <w:ind w:left="1134"/>
        <w:jc w:val="both"/>
      </w:pPr>
      <w:r>
        <w:t>Sind Sie zufrieden, das zu hören, Herr Benn? Und Sie, Herr Goebbels? Wir kö</w:t>
      </w:r>
      <w:r>
        <w:t>n</w:t>
      </w:r>
      <w:r>
        <w:t>nen es nicht vermeiden, Ihnen dieses Vergnügen zu bereiten.</w:t>
      </w:r>
    </w:p>
    <w:p w:rsidR="00712A43" w:rsidRDefault="00712A43" w:rsidP="008B7447">
      <w:pPr>
        <w:spacing w:after="0"/>
        <w:ind w:left="1134"/>
        <w:jc w:val="both"/>
      </w:pPr>
      <w:r>
        <w:t xml:space="preserve">Sondern es ist so, </w:t>
      </w:r>
      <w:proofErr w:type="spellStart"/>
      <w:r>
        <w:t>daß</w:t>
      </w:r>
      <w:proofErr w:type="spellEnd"/>
      <w:r>
        <w:t xml:space="preserve"> das, was Sie an der nationalen Revolution verdienen, do</w:t>
      </w:r>
      <w:r>
        <w:t>p</w:t>
      </w:r>
      <w:r>
        <w:t>pelt und dreifach, nein, hundertfach durch die Zerstörung der Existenzen derer b</w:t>
      </w:r>
      <w:r>
        <w:t>e</w:t>
      </w:r>
      <w:r>
        <w:t>zahlt wird, die das Vaterland verließen, um nicht Gewalt, um nicht Entrechtung, um nicht Entwürdigung zu leiden.</w:t>
      </w:r>
    </w:p>
    <w:p w:rsidR="00712A43" w:rsidRPr="00650D38" w:rsidRDefault="00712A43" w:rsidP="008B7447">
      <w:pPr>
        <w:spacing w:after="0"/>
        <w:ind w:left="1134"/>
        <w:jc w:val="both"/>
      </w:pPr>
      <w:r>
        <w:t>Sind Sie zufrieden?“</w:t>
      </w:r>
      <w:r>
        <w:rPr>
          <w:rStyle w:val="Funotenzeichen"/>
        </w:rPr>
        <w:footnoteReference w:id="30"/>
      </w:r>
    </w:p>
    <w:p w:rsidR="00712A43" w:rsidRDefault="00712A43" w:rsidP="008B7447">
      <w:pPr>
        <w:spacing w:after="0"/>
        <w:jc w:val="both"/>
      </w:pPr>
      <w:r>
        <w:t xml:space="preserve">Für </w:t>
      </w:r>
      <w:proofErr w:type="spellStart"/>
      <w:r>
        <w:t>Ika</w:t>
      </w:r>
      <w:proofErr w:type="spellEnd"/>
      <w:r>
        <w:t xml:space="preserve"> und Rudolf </w:t>
      </w:r>
      <w:proofErr w:type="spellStart"/>
      <w:r>
        <w:t>Olden</w:t>
      </w:r>
      <w:proofErr w:type="spellEnd"/>
      <w:r>
        <w:t xml:space="preserve"> hat sich Benn mit seinen Äußerungen zum Sprachrohr von Goe</w:t>
      </w:r>
      <w:r>
        <w:t>b</w:t>
      </w:r>
      <w:r>
        <w:t>bels gemacht. Das Exil ist keine Sinekure, sondern Entrechtung, Entwürdigung und Zerst</w:t>
      </w:r>
      <w:r>
        <w:t>ö</w:t>
      </w:r>
      <w:r>
        <w:t>rung der beruflichen Existenz. Es ist „Elend“.</w:t>
      </w:r>
      <w:r>
        <w:rPr>
          <w:rStyle w:val="Funotenzeichen"/>
        </w:rPr>
        <w:footnoteReference w:id="31"/>
      </w:r>
      <w:r>
        <w:t xml:space="preserve"> Die Emigranten lebe</w:t>
      </w:r>
      <w:r w:rsidRPr="00F64082">
        <w:t xml:space="preserve">n </w:t>
      </w:r>
      <w:r>
        <w:t>in der Mehrzahl in B</w:t>
      </w:r>
      <w:r>
        <w:t>a</w:t>
      </w:r>
      <w:r>
        <w:t xml:space="preserve">racken, </w:t>
      </w:r>
      <w:r w:rsidR="00D2122A">
        <w:t xml:space="preserve">in „Kasernen“, </w:t>
      </w:r>
      <w:r>
        <w:t xml:space="preserve">die zu Asylen umgebaut worden sind. Fast alle </w:t>
      </w:r>
      <w:r w:rsidR="00D2122A">
        <w:t xml:space="preserve">Emigranten </w:t>
      </w:r>
      <w:r>
        <w:t xml:space="preserve">sind mehr oder weniger mittellos und daher auf Zuwendungen seitens der Hilfskomitees angewiesen. Man schlägt sich durch – bisweilen in sehr problematischer Art und Weise. </w:t>
      </w:r>
    </w:p>
    <w:p w:rsidR="00B97E56" w:rsidRDefault="00B97E56" w:rsidP="008B7447">
      <w:pPr>
        <w:spacing w:after="0"/>
        <w:jc w:val="both"/>
      </w:pPr>
      <w:r>
        <w:tab/>
      </w:r>
      <w:r w:rsidR="00712A43">
        <w:t>Und was sag</w:t>
      </w:r>
      <w:r>
        <w:t xml:space="preserve">en Rudolf und </w:t>
      </w:r>
      <w:proofErr w:type="spellStart"/>
      <w:r>
        <w:t>Ika</w:t>
      </w:r>
      <w:proofErr w:type="spellEnd"/>
      <w:r>
        <w:t xml:space="preserve"> </w:t>
      </w:r>
      <w:proofErr w:type="spellStart"/>
      <w:r>
        <w:t>Olden</w:t>
      </w:r>
      <w:proofErr w:type="spellEnd"/>
      <w:r>
        <w:t xml:space="preserve"> </w:t>
      </w:r>
      <w:r w:rsidR="00712A43">
        <w:t xml:space="preserve">über </w:t>
      </w:r>
      <w:r>
        <w:t>die „kleinen Hotels“, die in dem Brie</w:t>
      </w:r>
      <w:r>
        <w:t>f</w:t>
      </w:r>
      <w:r>
        <w:t xml:space="preserve">wechsel zwischen Klaus Mann und Benn eine so markante Erwähnung finden? Für </w:t>
      </w:r>
      <w:r w:rsidR="00D2122A">
        <w:t>das Eh</w:t>
      </w:r>
      <w:r w:rsidR="00D2122A">
        <w:t>e</w:t>
      </w:r>
      <w:r w:rsidR="00D2122A">
        <w:t xml:space="preserve">paar </w:t>
      </w:r>
      <w:proofErr w:type="spellStart"/>
      <w:r>
        <w:t>Olden</w:t>
      </w:r>
      <w:proofErr w:type="spellEnd"/>
      <w:r>
        <w:t xml:space="preserve"> wohnen in Hotels vor allem die Schriftsteller</w:t>
      </w:r>
      <w:r w:rsidR="00D2122A">
        <w:t>. Aber auch der Begriff „Hotel“ ist für die Art der Unterkunft ein in mancher Hinsicht irreführender Name:</w:t>
      </w:r>
      <w:r>
        <w:t xml:space="preserve"> </w:t>
      </w:r>
    </w:p>
    <w:p w:rsidR="00B97E56" w:rsidRDefault="00B97E56" w:rsidP="008B7447">
      <w:pPr>
        <w:spacing w:after="0"/>
        <w:ind w:left="1134"/>
        <w:jc w:val="both"/>
      </w:pPr>
      <w:r>
        <w:t xml:space="preserve">„Die Schriftsteller wohnen in den kleinen Hotels, die hier </w:t>
      </w:r>
      <w:r w:rsidR="004A1B20">
        <w:t xml:space="preserve">[zwischen </w:t>
      </w:r>
      <w:proofErr w:type="spellStart"/>
      <w:r w:rsidR="004A1B20">
        <w:t>Sorbonne</w:t>
      </w:r>
      <w:proofErr w:type="spellEnd"/>
      <w:r w:rsidR="004A1B20">
        <w:t xml:space="preserve"> und Boulevard St. Michel] u</w:t>
      </w:r>
      <w:r>
        <w:t xml:space="preserve">nd in </w:t>
      </w:r>
      <w:r w:rsidR="004A1B20">
        <w:t>mehreren anderen Stadtteilen der großen Stadt in Mengen zu finden sind und eine wichtige Funktion erfüllen: Sie dienen den Armen und Ärmsten als Wohnung. Oft ist es nur ein Schritt von ihnen zum Asyl oder zu den Schlafplätzen unter den Brücken der Seine.</w:t>
      </w:r>
    </w:p>
    <w:p w:rsidR="004A1B20" w:rsidRDefault="004A1B20" w:rsidP="008B7447">
      <w:pPr>
        <w:spacing w:after="0"/>
        <w:ind w:left="1134"/>
        <w:jc w:val="both"/>
      </w:pPr>
      <w:r>
        <w:t>‚Hotel‘, das ist für uns Deutsche ein anderer Begriff, und es mutet uns seltsam an, ihn auf die Herbergen anzuwenden, die hier so heißen. Die Zimmer schrumpfen schneller als das Bett, und am Ende ist zwar das Bett nicht mehr so überleben</w:t>
      </w:r>
      <w:r>
        <w:t>s</w:t>
      </w:r>
      <w:r>
        <w:t>groß […]. Ein runder Waschtisch, und der wackelt oft, ein Stuhl oder, wenn es hoch hergeht, zwei, ein schmales Tischchen. Die Treppe ist winklig und steil, die Fenster sind trüb, das Badezimmer ist eine Sage aus fernen Ländern, die Besitz</w:t>
      </w:r>
      <w:r>
        <w:t>e</w:t>
      </w:r>
      <w:r>
        <w:t>rin zugleich Köchin und Concierge. Sie ist eine charmante lustige Pariserin, s</w:t>
      </w:r>
      <w:r>
        <w:t>o</w:t>
      </w:r>
      <w:r>
        <w:t>lange man bezahlt, und eine Hexe, wenn der Gast kein Geld mehr hat. Denn sie ist selbst arm.“</w:t>
      </w:r>
      <w:r>
        <w:rPr>
          <w:rStyle w:val="Funotenzeichen"/>
        </w:rPr>
        <w:footnoteReference w:id="32"/>
      </w:r>
    </w:p>
    <w:p w:rsidR="004A1B20" w:rsidRDefault="004A1B20" w:rsidP="008B7447">
      <w:pPr>
        <w:spacing w:after="0"/>
        <w:jc w:val="both"/>
      </w:pPr>
      <w:r>
        <w:t xml:space="preserve">Diese Beschreibung konterkariert eindrucksvoll die </w:t>
      </w:r>
      <w:r w:rsidR="00D2122A">
        <w:t>V</w:t>
      </w:r>
      <w:r>
        <w:t>erunglimpf</w:t>
      </w:r>
      <w:r w:rsidR="00D2122A">
        <w:t>ungen</w:t>
      </w:r>
      <w:r>
        <w:t xml:space="preserve">, </w:t>
      </w:r>
      <w:r w:rsidR="00D2122A">
        <w:t xml:space="preserve">mit denen </w:t>
      </w:r>
      <w:r>
        <w:t xml:space="preserve">Benn die von Klaus Mann apostrophierten „kleinen Hotels“ </w:t>
      </w:r>
      <w:r w:rsidR="00D2122A">
        <w:t>bedacht hat</w:t>
      </w:r>
      <w:r>
        <w:t>.</w:t>
      </w:r>
    </w:p>
    <w:p w:rsidR="0053639D" w:rsidRDefault="0053639D" w:rsidP="008B7447">
      <w:pPr>
        <w:spacing w:after="0"/>
        <w:jc w:val="both"/>
      </w:pPr>
      <w:r>
        <w:lastRenderedPageBreak/>
        <w:tab/>
      </w:r>
      <w:proofErr w:type="spellStart"/>
      <w:r>
        <w:t>Ika</w:t>
      </w:r>
      <w:proofErr w:type="spellEnd"/>
      <w:r>
        <w:t xml:space="preserve"> und Rudolf </w:t>
      </w:r>
      <w:proofErr w:type="spellStart"/>
      <w:r>
        <w:t>Olden</w:t>
      </w:r>
      <w:proofErr w:type="spellEnd"/>
      <w:r>
        <w:t xml:space="preserve"> urteilen über die deutschen Emigranten in Paris aus </w:t>
      </w:r>
      <w:r w:rsidR="00D2122A">
        <w:t>soziolog</w:t>
      </w:r>
      <w:r w:rsidR="00D2122A">
        <w:t>i</w:t>
      </w:r>
      <w:r w:rsidR="00D2122A">
        <w:t xml:space="preserve">scher und politologischer </w:t>
      </w:r>
      <w:r>
        <w:t>Perspektive. Sie tun es mit Engagement, aber zugleich auch mit kontrollierter Distanz – eben so, wie es für einen Publizisten</w:t>
      </w:r>
      <w:r w:rsidR="00D2122A">
        <w:t xml:space="preserve"> und zugleich ausgebildeten Juri</w:t>
      </w:r>
      <w:r w:rsidR="00D2122A">
        <w:t>s</w:t>
      </w:r>
      <w:r w:rsidR="00D2122A">
        <w:t xml:space="preserve">ten wie Rudolf </w:t>
      </w:r>
      <w:proofErr w:type="spellStart"/>
      <w:r w:rsidR="00D2122A">
        <w:t>Olden</w:t>
      </w:r>
      <w:proofErr w:type="spellEnd"/>
      <w:r>
        <w:t xml:space="preserve"> angemessen ist. Der Text, der so entstanden ist, ist unterhaltsam, in Te</w:t>
      </w:r>
      <w:r>
        <w:t>i</w:t>
      </w:r>
      <w:r>
        <w:t>len amüsant, vor allem aber informativ.</w:t>
      </w:r>
    </w:p>
    <w:bookmarkEnd w:id="0"/>
    <w:p w:rsidR="0053639D" w:rsidRDefault="0053639D" w:rsidP="008B7447">
      <w:pPr>
        <w:spacing w:after="0"/>
        <w:jc w:val="both"/>
      </w:pPr>
    </w:p>
    <w:sectPr w:rsidR="0053639D" w:rsidSect="00FD421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A6" w:rsidRDefault="000D33A6" w:rsidP="00206CC6">
      <w:pPr>
        <w:spacing w:after="0" w:line="240" w:lineRule="auto"/>
      </w:pPr>
      <w:r>
        <w:separator/>
      </w:r>
    </w:p>
  </w:endnote>
  <w:endnote w:type="continuationSeparator" w:id="0">
    <w:p w:rsidR="000D33A6" w:rsidRDefault="000D33A6" w:rsidP="0020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A6" w:rsidRDefault="000D33A6" w:rsidP="00206CC6">
      <w:pPr>
        <w:spacing w:after="0" w:line="240" w:lineRule="auto"/>
      </w:pPr>
      <w:r>
        <w:separator/>
      </w:r>
    </w:p>
  </w:footnote>
  <w:footnote w:type="continuationSeparator" w:id="0">
    <w:p w:rsidR="000D33A6" w:rsidRDefault="000D33A6" w:rsidP="00206CC6">
      <w:pPr>
        <w:spacing w:after="0" w:line="240" w:lineRule="auto"/>
      </w:pPr>
      <w:r>
        <w:continuationSeparator/>
      </w:r>
    </w:p>
  </w:footnote>
  <w:footnote w:id="1">
    <w:p w:rsidR="0008319E" w:rsidRPr="00D654E2" w:rsidRDefault="0008319E" w:rsidP="00863203">
      <w:pPr>
        <w:pStyle w:val="Funotentext"/>
        <w:rPr>
          <w:rFonts w:ascii="Times New Roman" w:hAnsi="Times New Roman" w:cs="Times New Roman"/>
        </w:rPr>
      </w:pPr>
      <w:r>
        <w:rPr>
          <w:rStyle w:val="Funotenzeichen"/>
        </w:rPr>
        <w:footnoteRef/>
      </w:r>
      <w:r>
        <w:t xml:space="preserve"> </w:t>
      </w:r>
      <w:r w:rsidRPr="00650D38">
        <w:rPr>
          <w:rFonts w:ascii="Times New Roman" w:hAnsi="Times New Roman" w:cs="Times New Roman"/>
        </w:rPr>
        <w:t>Rudolf</w:t>
      </w:r>
      <w:r>
        <w:rPr>
          <w:rFonts w:ascii="Times New Roman" w:hAnsi="Times New Roman" w:cs="Times New Roman"/>
        </w:rPr>
        <w:t xml:space="preserve"> und </w:t>
      </w:r>
      <w:proofErr w:type="spellStart"/>
      <w:r>
        <w:rPr>
          <w:rFonts w:ascii="Times New Roman" w:hAnsi="Times New Roman" w:cs="Times New Roman"/>
        </w:rPr>
        <w:t>Ika</w:t>
      </w:r>
      <w:proofErr w:type="spellEnd"/>
      <w:r>
        <w:rPr>
          <w:rFonts w:ascii="Times New Roman" w:hAnsi="Times New Roman" w:cs="Times New Roman"/>
        </w:rPr>
        <w:t xml:space="preserve"> </w:t>
      </w:r>
      <w:proofErr w:type="spellStart"/>
      <w:r>
        <w:rPr>
          <w:rFonts w:ascii="Times New Roman" w:hAnsi="Times New Roman" w:cs="Times New Roman"/>
        </w:rPr>
        <w:t>Olden</w:t>
      </w:r>
      <w:proofErr w:type="spellEnd"/>
      <w:r>
        <w:rPr>
          <w:rFonts w:ascii="Times New Roman" w:hAnsi="Times New Roman" w:cs="Times New Roman"/>
        </w:rPr>
        <w:t xml:space="preserve">: </w:t>
      </w:r>
      <w:r>
        <w:rPr>
          <w:rFonts w:ascii="Times New Roman" w:hAnsi="Times New Roman" w:cs="Times New Roman"/>
          <w:i/>
        </w:rPr>
        <w:t xml:space="preserve">„In tiefem Dunkel liegt Deutschland“. </w:t>
      </w:r>
      <w:r w:rsidRPr="00650D38">
        <w:rPr>
          <w:rFonts w:ascii="Times New Roman" w:hAnsi="Times New Roman" w:cs="Times New Roman"/>
        </w:rPr>
        <w:t xml:space="preserve">Von Hitler </w:t>
      </w:r>
      <w:r>
        <w:rPr>
          <w:rFonts w:ascii="Times New Roman" w:hAnsi="Times New Roman" w:cs="Times New Roman"/>
        </w:rPr>
        <w:t>vertrieben – Ein Jahr deutsche Emi</w:t>
      </w:r>
      <w:r>
        <w:rPr>
          <w:rFonts w:ascii="Times New Roman" w:hAnsi="Times New Roman" w:cs="Times New Roman"/>
        </w:rPr>
        <w:t>g</w:t>
      </w:r>
      <w:r>
        <w:rPr>
          <w:rFonts w:ascii="Times New Roman" w:hAnsi="Times New Roman" w:cs="Times New Roman"/>
        </w:rPr>
        <w:t xml:space="preserve">ration. Vorwort von Lion Feuchtwanger. Hrsg. u. eingeleitet von </w:t>
      </w:r>
      <w:proofErr w:type="spellStart"/>
      <w:r>
        <w:rPr>
          <w:rFonts w:ascii="Times New Roman" w:hAnsi="Times New Roman" w:cs="Times New Roman"/>
        </w:rPr>
        <w:t>Charmian</w:t>
      </w:r>
      <w:proofErr w:type="spellEnd"/>
      <w:r>
        <w:rPr>
          <w:rFonts w:ascii="Times New Roman" w:hAnsi="Times New Roman" w:cs="Times New Roman"/>
        </w:rPr>
        <w:t xml:space="preserve"> </w:t>
      </w:r>
      <w:proofErr w:type="spellStart"/>
      <w:r>
        <w:rPr>
          <w:rFonts w:ascii="Times New Roman" w:hAnsi="Times New Roman" w:cs="Times New Roman"/>
        </w:rPr>
        <w:t>Brinson</w:t>
      </w:r>
      <w:proofErr w:type="spellEnd"/>
      <w:r>
        <w:rPr>
          <w:rFonts w:ascii="Times New Roman" w:hAnsi="Times New Roman" w:cs="Times New Roman"/>
        </w:rPr>
        <w:t xml:space="preserve"> und Marian Malet. (= Reihe </w:t>
      </w:r>
      <w:r>
        <w:rPr>
          <w:rFonts w:ascii="Times New Roman" w:hAnsi="Times New Roman" w:cs="Times New Roman"/>
          <w:i/>
        </w:rPr>
        <w:t>Dokumente – Texte – Materialien.</w:t>
      </w:r>
      <w:r>
        <w:rPr>
          <w:rFonts w:ascii="Times New Roman" w:hAnsi="Times New Roman" w:cs="Times New Roman"/>
        </w:rPr>
        <w:t xml:space="preserve"> Veröffentlicht vom Zentrum für Antisemitismusforschung der Technischen Universität Berlin. Bd. 11). Berlin 1994.</w:t>
      </w:r>
      <w:r w:rsidRPr="00863203">
        <w:t xml:space="preserve"> </w:t>
      </w:r>
      <w:r>
        <w:rPr>
          <w:rFonts w:ascii="Times New Roman" w:hAnsi="Times New Roman" w:cs="Times New Roman"/>
        </w:rPr>
        <w:t>– D</w:t>
      </w:r>
      <w:r w:rsidRPr="00D654E2">
        <w:rPr>
          <w:rFonts w:ascii="Times New Roman" w:hAnsi="Times New Roman" w:cs="Times New Roman"/>
        </w:rPr>
        <w:t>er</w:t>
      </w:r>
      <w:r>
        <w:rPr>
          <w:rFonts w:ascii="Times New Roman" w:hAnsi="Times New Roman" w:cs="Times New Roman"/>
        </w:rPr>
        <w:t xml:space="preserve"> Text wird mit „</w:t>
      </w:r>
      <w:proofErr w:type="spellStart"/>
      <w:r>
        <w:rPr>
          <w:rFonts w:ascii="Times New Roman" w:hAnsi="Times New Roman" w:cs="Times New Roman"/>
        </w:rPr>
        <w:t>Olden</w:t>
      </w:r>
      <w:proofErr w:type="spellEnd"/>
      <w:r>
        <w:rPr>
          <w:rFonts w:ascii="Times New Roman" w:hAnsi="Times New Roman" w:cs="Times New Roman"/>
        </w:rPr>
        <w:t>“ und Seitenangabe zitiert.</w:t>
      </w:r>
    </w:p>
  </w:footnote>
  <w:footnote w:id="2">
    <w:p w:rsidR="0008319E" w:rsidRPr="009915E2" w:rsidRDefault="0008319E">
      <w:pPr>
        <w:pStyle w:val="Funotentext"/>
        <w:rPr>
          <w:rFonts w:ascii="Times New Roman" w:hAnsi="Times New Roman" w:cs="Times New Roman"/>
        </w:rPr>
      </w:pPr>
      <w:r>
        <w:rPr>
          <w:rStyle w:val="Funotenzeichen"/>
        </w:rPr>
        <w:footnoteRef/>
      </w:r>
      <w:r w:rsidRPr="009915E2">
        <w:t xml:space="preserve"> </w:t>
      </w:r>
      <w:r w:rsidRPr="009915E2">
        <w:rPr>
          <w:rFonts w:ascii="Times New Roman" w:hAnsi="Times New Roman" w:cs="Times New Roman"/>
        </w:rPr>
        <w:t>Das ist an Details zu er</w:t>
      </w:r>
      <w:r>
        <w:rPr>
          <w:rFonts w:ascii="Times New Roman" w:hAnsi="Times New Roman" w:cs="Times New Roman"/>
        </w:rPr>
        <w:t xml:space="preserve">kennen. Im </w:t>
      </w:r>
      <w:r>
        <w:rPr>
          <w:rFonts w:ascii="Times New Roman" w:hAnsi="Times New Roman" w:cs="Times New Roman"/>
          <w:i/>
        </w:rPr>
        <w:t>Schwarzbuch</w:t>
      </w:r>
      <w:r>
        <w:rPr>
          <w:rFonts w:ascii="Times New Roman" w:hAnsi="Times New Roman" w:cs="Times New Roman"/>
        </w:rPr>
        <w:t xml:space="preserve"> wird z.B. auf S. 420 ein (anonymisiertes) Entlassungsschre</w:t>
      </w:r>
      <w:r>
        <w:rPr>
          <w:rFonts w:ascii="Times New Roman" w:hAnsi="Times New Roman" w:cs="Times New Roman"/>
        </w:rPr>
        <w:t>i</w:t>
      </w:r>
      <w:r>
        <w:rPr>
          <w:rFonts w:ascii="Times New Roman" w:hAnsi="Times New Roman" w:cs="Times New Roman"/>
        </w:rPr>
        <w:t xml:space="preserve">ben abgebildet. Der Entlassene ist der Regisseur P. Walter Jacob. In </w:t>
      </w:r>
      <w:r>
        <w:rPr>
          <w:rFonts w:ascii="Times New Roman" w:hAnsi="Times New Roman" w:cs="Times New Roman"/>
          <w:i/>
        </w:rPr>
        <w:t>„In tiefem Dunkel liegt Deutschland“</w:t>
      </w:r>
      <w:r>
        <w:rPr>
          <w:rFonts w:ascii="Times New Roman" w:hAnsi="Times New Roman" w:cs="Times New Roman"/>
        </w:rPr>
        <w:t xml:space="preserve"> wi</w:t>
      </w:r>
      <w:r>
        <w:rPr>
          <w:rFonts w:ascii="Times New Roman" w:hAnsi="Times New Roman" w:cs="Times New Roman"/>
        </w:rPr>
        <w:t>e</w:t>
      </w:r>
      <w:r>
        <w:rPr>
          <w:rFonts w:ascii="Times New Roman" w:hAnsi="Times New Roman" w:cs="Times New Roman"/>
        </w:rPr>
        <w:t>derum wird ein „Philosoph“ erwähnt, der seine Privatbibliothek gegen Ausleihgebühren an eine Pariser Leib</w:t>
      </w:r>
      <w:r>
        <w:rPr>
          <w:rFonts w:ascii="Times New Roman" w:hAnsi="Times New Roman" w:cs="Times New Roman"/>
        </w:rPr>
        <w:t>ü</w:t>
      </w:r>
      <w:r>
        <w:rPr>
          <w:rFonts w:ascii="Times New Roman" w:hAnsi="Times New Roman" w:cs="Times New Roman"/>
        </w:rPr>
        <w:t>cherei gegeben hat (S. 64). Auch hier handelt es sich um P. Walter Jacob, wie an der Stempelung der im Jacob-Nachlass befindlichen Bücher zu erkennen ist.</w:t>
      </w:r>
    </w:p>
  </w:footnote>
  <w:footnote w:id="3">
    <w:p w:rsidR="0008319E" w:rsidRPr="001954B5" w:rsidRDefault="0008319E" w:rsidP="00D9639D">
      <w:pPr>
        <w:spacing w:after="0" w:line="240" w:lineRule="auto"/>
      </w:pPr>
      <w:r>
        <w:rPr>
          <w:rStyle w:val="Funotenzeichen"/>
        </w:rPr>
        <w:footnoteRef/>
      </w:r>
      <w:r>
        <w:t xml:space="preserve"> </w:t>
      </w:r>
      <w:r w:rsidRPr="00A63EF4">
        <w:rPr>
          <w:sz w:val="20"/>
          <w:szCs w:val="20"/>
        </w:rPr>
        <w:t>Das Ehepaar</w:t>
      </w:r>
      <w:r>
        <w:t xml:space="preserve"> </w:t>
      </w:r>
      <w:proofErr w:type="spellStart"/>
      <w:r w:rsidRPr="001954B5">
        <w:rPr>
          <w:sz w:val="20"/>
          <w:szCs w:val="20"/>
        </w:rPr>
        <w:t>Olden</w:t>
      </w:r>
      <w:proofErr w:type="spellEnd"/>
      <w:r w:rsidRPr="001954B5">
        <w:rPr>
          <w:sz w:val="20"/>
          <w:szCs w:val="20"/>
        </w:rPr>
        <w:t xml:space="preserve"> ist skeptisch, ob die</w:t>
      </w:r>
      <w:r>
        <w:rPr>
          <w:sz w:val="20"/>
          <w:szCs w:val="20"/>
        </w:rPr>
        <w:t xml:space="preserve"> deutschen</w:t>
      </w:r>
      <w:r w:rsidRPr="001954B5">
        <w:rPr>
          <w:sz w:val="20"/>
          <w:szCs w:val="20"/>
        </w:rPr>
        <w:t xml:space="preserve"> Emigranten d</w:t>
      </w:r>
      <w:r>
        <w:rPr>
          <w:sz w:val="20"/>
          <w:szCs w:val="20"/>
        </w:rPr>
        <w:t>a</w:t>
      </w:r>
      <w:r w:rsidRPr="001954B5">
        <w:rPr>
          <w:sz w:val="20"/>
          <w:szCs w:val="20"/>
        </w:rPr>
        <w:t xml:space="preserve">s Buch überhaupt lesen werden. </w:t>
      </w:r>
      <w:r>
        <w:rPr>
          <w:sz w:val="20"/>
          <w:szCs w:val="20"/>
        </w:rPr>
        <w:t>Die „deu</w:t>
      </w:r>
      <w:r>
        <w:rPr>
          <w:sz w:val="20"/>
          <w:szCs w:val="20"/>
        </w:rPr>
        <w:t>t</w:t>
      </w:r>
      <w:r>
        <w:rPr>
          <w:sz w:val="20"/>
          <w:szCs w:val="20"/>
        </w:rPr>
        <w:t xml:space="preserve">sche“ Emigration urteilt und orientiert sich einseitig. Speziell </w:t>
      </w:r>
      <w:r w:rsidRPr="001954B5">
        <w:rPr>
          <w:sz w:val="20"/>
          <w:szCs w:val="20"/>
        </w:rPr>
        <w:t>die ungemein schwierige Lage, in der sich die Ostjuden unter den Emigranten befinden</w:t>
      </w:r>
      <w:r>
        <w:rPr>
          <w:sz w:val="20"/>
          <w:szCs w:val="20"/>
        </w:rPr>
        <w:t>, interessiert „die Deutschen“ nicht</w:t>
      </w:r>
      <w:r w:rsidRPr="001954B5">
        <w:rPr>
          <w:sz w:val="20"/>
          <w:szCs w:val="20"/>
        </w:rPr>
        <w:t>: „Es hätte wenig Zweck, das den Deutschen zu erzählen, sie werden ja auch dieses Buch nicht lesen.“ (</w:t>
      </w:r>
      <w:r>
        <w:rPr>
          <w:sz w:val="20"/>
          <w:szCs w:val="20"/>
        </w:rPr>
        <w:t xml:space="preserve">S. </w:t>
      </w:r>
      <w:r w:rsidRPr="001954B5">
        <w:rPr>
          <w:sz w:val="20"/>
          <w:szCs w:val="20"/>
        </w:rPr>
        <w:t>54)</w:t>
      </w:r>
    </w:p>
  </w:footnote>
  <w:footnote w:id="4">
    <w:p w:rsidR="0008319E" w:rsidRPr="00D9639D" w:rsidRDefault="0008319E">
      <w:pPr>
        <w:pStyle w:val="Funotentext"/>
        <w:rPr>
          <w:rFonts w:ascii="Times New Roman" w:hAnsi="Times New Roman" w:cs="Times New Roman"/>
        </w:rPr>
      </w:pPr>
      <w:r>
        <w:rPr>
          <w:rStyle w:val="Funotenzeichen"/>
        </w:rPr>
        <w:footnoteRef/>
      </w:r>
      <w:r>
        <w:t xml:space="preserve"> </w:t>
      </w:r>
      <w:proofErr w:type="spellStart"/>
      <w:r w:rsidRPr="00D9639D">
        <w:rPr>
          <w:rFonts w:ascii="Times New Roman" w:hAnsi="Times New Roman" w:cs="Times New Roman"/>
        </w:rPr>
        <w:t>Olden</w:t>
      </w:r>
      <w:proofErr w:type="spellEnd"/>
      <w:r w:rsidRPr="00D9639D">
        <w:rPr>
          <w:rFonts w:ascii="Times New Roman" w:hAnsi="Times New Roman" w:cs="Times New Roman"/>
        </w:rPr>
        <w:t>, S. 27.</w:t>
      </w:r>
    </w:p>
  </w:footnote>
  <w:footnote w:id="5">
    <w:p w:rsidR="0008319E" w:rsidRPr="005E7938" w:rsidRDefault="0008319E">
      <w:pPr>
        <w:pStyle w:val="Funotentext"/>
        <w:rPr>
          <w:rFonts w:ascii="Times New Roman" w:hAnsi="Times New Roman" w:cs="Times New Roman"/>
        </w:rPr>
      </w:pPr>
      <w:r>
        <w:rPr>
          <w:rStyle w:val="Funotenzeichen"/>
        </w:rPr>
        <w:footnoteRef/>
      </w:r>
      <w:r>
        <w:t xml:space="preserve"> </w:t>
      </w:r>
      <w:r w:rsidRPr="005E7938">
        <w:rPr>
          <w:rFonts w:ascii="Times New Roman" w:hAnsi="Times New Roman" w:cs="Times New Roman"/>
        </w:rPr>
        <w:t>Ebd.</w:t>
      </w:r>
    </w:p>
  </w:footnote>
  <w:footnote w:id="6">
    <w:p w:rsidR="0008319E" w:rsidRPr="00CE4D5B" w:rsidRDefault="0008319E">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27.</w:t>
      </w:r>
    </w:p>
  </w:footnote>
  <w:footnote w:id="7">
    <w:p w:rsidR="0008319E" w:rsidRPr="0093264E" w:rsidRDefault="0008319E" w:rsidP="008C3582">
      <w:pPr>
        <w:pStyle w:val="Funotentext"/>
        <w:rPr>
          <w:rFonts w:ascii="Times New Roman" w:hAnsi="Times New Roman" w:cs="Times New Roman"/>
        </w:rPr>
      </w:pPr>
      <w:r>
        <w:rPr>
          <w:rStyle w:val="Funotenzeichen"/>
        </w:rPr>
        <w:footnoteRef/>
      </w:r>
      <w:r>
        <w:t xml:space="preserve"> </w:t>
      </w:r>
      <w:r w:rsidRPr="0093264E">
        <w:rPr>
          <w:rFonts w:ascii="Times New Roman" w:hAnsi="Times New Roman" w:cs="Times New Roman"/>
        </w:rPr>
        <w:t>Vgl. das Dokument 127</w:t>
      </w:r>
      <w:r>
        <w:rPr>
          <w:rFonts w:ascii="Times New Roman" w:hAnsi="Times New Roman" w:cs="Times New Roman"/>
        </w:rPr>
        <w:t xml:space="preserve"> in </w:t>
      </w:r>
      <w:r>
        <w:rPr>
          <w:rFonts w:ascii="Times New Roman" w:hAnsi="Times New Roman" w:cs="Times New Roman"/>
          <w:i/>
        </w:rPr>
        <w:t>Die Verfolgung und Ermordung der europäischen Juden durch das nationalsoziali</w:t>
      </w:r>
      <w:r>
        <w:rPr>
          <w:rFonts w:ascii="Times New Roman" w:hAnsi="Times New Roman" w:cs="Times New Roman"/>
          <w:i/>
        </w:rPr>
        <w:t>s</w:t>
      </w:r>
      <w:r>
        <w:rPr>
          <w:rFonts w:ascii="Times New Roman" w:hAnsi="Times New Roman" w:cs="Times New Roman"/>
          <w:i/>
        </w:rPr>
        <w:t xml:space="preserve">tische Deutschland 1933 – 1945. </w:t>
      </w:r>
      <w:r>
        <w:rPr>
          <w:rFonts w:ascii="Times New Roman" w:hAnsi="Times New Roman" w:cs="Times New Roman"/>
        </w:rPr>
        <w:t xml:space="preserve">Bd. 2: </w:t>
      </w:r>
      <w:r>
        <w:rPr>
          <w:rFonts w:ascii="Times New Roman" w:hAnsi="Times New Roman" w:cs="Times New Roman"/>
          <w:i/>
        </w:rPr>
        <w:t>Deutsches Reich 1938 – August 1939.</w:t>
      </w:r>
      <w:r>
        <w:rPr>
          <w:rFonts w:ascii="Times New Roman" w:hAnsi="Times New Roman" w:cs="Times New Roman"/>
        </w:rPr>
        <w:t xml:space="preserve"> Bearbeitet von Susanne Heim. München 2009, S. 369 f.</w:t>
      </w:r>
    </w:p>
  </w:footnote>
  <w:footnote w:id="8">
    <w:p w:rsidR="0008319E" w:rsidRPr="004C5B51" w:rsidRDefault="0008319E">
      <w:pPr>
        <w:pStyle w:val="Funotentext"/>
        <w:rPr>
          <w:rFonts w:ascii="Times New Roman" w:hAnsi="Times New Roman" w:cs="Times New Roman"/>
        </w:rPr>
      </w:pPr>
      <w:r>
        <w:rPr>
          <w:rStyle w:val="Funotenzeichen"/>
        </w:rPr>
        <w:footnoteRef/>
      </w:r>
      <w:r>
        <w:t xml:space="preserve"> </w:t>
      </w:r>
      <w:r w:rsidRPr="004C5B51">
        <w:rPr>
          <w:rFonts w:ascii="Times New Roman" w:hAnsi="Times New Roman" w:cs="Times New Roman"/>
        </w:rPr>
        <w:t>S. 31.</w:t>
      </w:r>
    </w:p>
  </w:footnote>
  <w:footnote w:id="9">
    <w:p w:rsidR="0008319E" w:rsidRPr="002878D9" w:rsidRDefault="0008319E" w:rsidP="0061554E">
      <w:pPr>
        <w:pStyle w:val="Funotentext"/>
        <w:rPr>
          <w:rFonts w:ascii="Times New Roman" w:hAnsi="Times New Roman" w:cs="Times New Roman"/>
        </w:rPr>
      </w:pPr>
      <w:r>
        <w:rPr>
          <w:rStyle w:val="Funotenzeichen"/>
        </w:rPr>
        <w:footnoteRef/>
      </w:r>
      <w:r>
        <w:t xml:space="preserve"> </w:t>
      </w:r>
      <w:r w:rsidRPr="0093264E">
        <w:rPr>
          <w:rFonts w:ascii="Times New Roman" w:hAnsi="Times New Roman" w:cs="Times New Roman"/>
        </w:rPr>
        <w:t>Der Sachverhalt</w:t>
      </w:r>
      <w:r>
        <w:t xml:space="preserve"> </w:t>
      </w:r>
      <w:r>
        <w:rPr>
          <w:rFonts w:ascii="Times New Roman" w:hAnsi="Times New Roman" w:cs="Times New Roman"/>
        </w:rPr>
        <w:t xml:space="preserve">entwickelte sich genau in dieser Weise im März 1938. </w:t>
      </w:r>
      <w:r w:rsidRPr="0093264E">
        <w:rPr>
          <w:rFonts w:ascii="Times New Roman" w:hAnsi="Times New Roman" w:cs="Times New Roman"/>
        </w:rPr>
        <w:t>Vgl.</w:t>
      </w:r>
      <w:r>
        <w:rPr>
          <w:rFonts w:ascii="Times New Roman" w:hAnsi="Times New Roman" w:cs="Times New Roman"/>
        </w:rPr>
        <w:t xml:space="preserve"> die Darstellung von Susanne Heim in der Einleitung von </w:t>
      </w:r>
      <w:r>
        <w:rPr>
          <w:rFonts w:ascii="Times New Roman" w:hAnsi="Times New Roman" w:cs="Times New Roman"/>
          <w:i/>
        </w:rPr>
        <w:t>Die Verfolgung und Ermordung,</w:t>
      </w:r>
      <w:r>
        <w:rPr>
          <w:rFonts w:ascii="Times New Roman" w:hAnsi="Times New Roman" w:cs="Times New Roman"/>
        </w:rPr>
        <w:t xml:space="preserve"> Bd. 2, a.a.O., S. 51 f. </w:t>
      </w:r>
    </w:p>
  </w:footnote>
  <w:footnote w:id="10">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35.</w:t>
      </w:r>
    </w:p>
  </w:footnote>
  <w:footnote w:id="11">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34.</w:t>
      </w:r>
    </w:p>
  </w:footnote>
  <w:footnote w:id="12">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36.</w:t>
      </w:r>
    </w:p>
  </w:footnote>
  <w:footnote w:id="13">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38.</w:t>
      </w:r>
    </w:p>
  </w:footnote>
  <w:footnote w:id="14">
    <w:p w:rsidR="0008319E" w:rsidRPr="009915E2" w:rsidRDefault="0008319E">
      <w:pPr>
        <w:pStyle w:val="Funotentext"/>
        <w:rPr>
          <w:rFonts w:ascii="Times New Roman" w:hAnsi="Times New Roman"/>
          <w:lang w:val="en-US"/>
        </w:rPr>
      </w:pPr>
      <w:r>
        <w:rPr>
          <w:rStyle w:val="Funotenzeichen"/>
        </w:rPr>
        <w:footnoteRef/>
      </w:r>
      <w:r w:rsidRPr="009915E2">
        <w:rPr>
          <w:lang w:val="en-US"/>
        </w:rPr>
        <w:t xml:space="preserve"> </w:t>
      </w:r>
      <w:r w:rsidRPr="009915E2">
        <w:rPr>
          <w:rFonts w:ascii="Times New Roman" w:hAnsi="Times New Roman"/>
          <w:lang w:val="en-US"/>
        </w:rPr>
        <w:t>S. 39.</w:t>
      </w:r>
    </w:p>
  </w:footnote>
  <w:footnote w:id="15">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50.</w:t>
      </w:r>
    </w:p>
  </w:footnote>
  <w:footnote w:id="16">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54.</w:t>
      </w:r>
    </w:p>
  </w:footnote>
  <w:footnote w:id="17">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53.</w:t>
      </w:r>
    </w:p>
  </w:footnote>
  <w:footnote w:id="18">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53 f.</w:t>
      </w:r>
    </w:p>
  </w:footnote>
  <w:footnote w:id="19">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62.</w:t>
      </w:r>
    </w:p>
  </w:footnote>
  <w:footnote w:id="20">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62 f.</w:t>
      </w:r>
    </w:p>
  </w:footnote>
  <w:footnote w:id="21">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63.</w:t>
      </w:r>
    </w:p>
  </w:footnote>
  <w:footnote w:id="22">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57.</w:t>
      </w:r>
    </w:p>
  </w:footnote>
  <w:footnote w:id="23">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120.</w:t>
      </w:r>
    </w:p>
  </w:footnote>
  <w:footnote w:id="24">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121.</w:t>
      </w:r>
    </w:p>
  </w:footnote>
  <w:footnote w:id="25">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57.</w:t>
      </w:r>
    </w:p>
  </w:footnote>
  <w:footnote w:id="26">
    <w:p w:rsidR="0008319E" w:rsidRPr="009915E2" w:rsidRDefault="0008319E">
      <w:pPr>
        <w:pStyle w:val="Funotentext"/>
        <w:rPr>
          <w:rFonts w:ascii="Times New Roman" w:hAnsi="Times New Roman" w:cs="Times New Roman"/>
          <w:lang w:val="en-US"/>
        </w:rPr>
      </w:pPr>
      <w:r>
        <w:rPr>
          <w:rStyle w:val="Funotenzeichen"/>
        </w:rPr>
        <w:footnoteRef/>
      </w:r>
      <w:r w:rsidRPr="009915E2">
        <w:rPr>
          <w:lang w:val="en-US"/>
        </w:rPr>
        <w:t xml:space="preserve"> </w:t>
      </w:r>
      <w:r w:rsidRPr="009915E2">
        <w:rPr>
          <w:rFonts w:ascii="Times New Roman" w:hAnsi="Times New Roman" w:cs="Times New Roman"/>
          <w:lang w:val="en-US"/>
        </w:rPr>
        <w:t>S. 108.</w:t>
      </w:r>
    </w:p>
  </w:footnote>
  <w:footnote w:id="27">
    <w:p w:rsidR="0008319E" w:rsidRPr="00447EC3" w:rsidRDefault="0008319E">
      <w:pPr>
        <w:pStyle w:val="Funotentext"/>
        <w:rPr>
          <w:rFonts w:ascii="Times New Roman" w:hAnsi="Times New Roman" w:cs="Times New Roman"/>
          <w:lang w:val="en-US"/>
        </w:rPr>
      </w:pPr>
      <w:r>
        <w:rPr>
          <w:rStyle w:val="Funotenzeichen"/>
        </w:rPr>
        <w:footnoteRef/>
      </w:r>
      <w:r w:rsidRPr="00447EC3">
        <w:rPr>
          <w:lang w:val="en-US"/>
        </w:rPr>
        <w:t xml:space="preserve"> </w:t>
      </w:r>
      <w:r w:rsidRPr="00447EC3">
        <w:rPr>
          <w:rFonts w:ascii="Times New Roman" w:hAnsi="Times New Roman" w:cs="Times New Roman"/>
          <w:lang w:val="en-US"/>
        </w:rPr>
        <w:t>S. 117.</w:t>
      </w:r>
    </w:p>
  </w:footnote>
  <w:footnote w:id="28">
    <w:p w:rsidR="0008319E" w:rsidRPr="006C141C" w:rsidRDefault="0008319E">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123.</w:t>
      </w:r>
    </w:p>
  </w:footnote>
  <w:footnote w:id="29">
    <w:p w:rsidR="0008319E" w:rsidRPr="006C141C" w:rsidRDefault="0008319E">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130.</w:t>
      </w:r>
    </w:p>
  </w:footnote>
  <w:footnote w:id="30">
    <w:p w:rsidR="0008319E" w:rsidRPr="009915E2" w:rsidRDefault="0008319E" w:rsidP="00712A43">
      <w:pPr>
        <w:pStyle w:val="Funotentext"/>
        <w:rPr>
          <w:rFonts w:ascii="Times New Roman" w:hAnsi="Times New Roman" w:cs="Times New Roman"/>
        </w:rPr>
      </w:pPr>
      <w:r w:rsidRPr="00863203">
        <w:rPr>
          <w:rStyle w:val="Funotenzeichen"/>
          <w:rFonts w:ascii="Times New Roman" w:hAnsi="Times New Roman" w:cs="Times New Roman"/>
        </w:rPr>
        <w:footnoteRef/>
      </w:r>
      <w:proofErr w:type="spellStart"/>
      <w:r w:rsidRPr="009915E2">
        <w:rPr>
          <w:rFonts w:ascii="Times New Roman" w:hAnsi="Times New Roman" w:cs="Times New Roman"/>
        </w:rPr>
        <w:t>Olden</w:t>
      </w:r>
      <w:proofErr w:type="spellEnd"/>
      <w:r w:rsidRPr="009915E2">
        <w:rPr>
          <w:rFonts w:ascii="Times New Roman" w:hAnsi="Times New Roman" w:cs="Times New Roman"/>
        </w:rPr>
        <w:t>., S. 112 f.</w:t>
      </w:r>
    </w:p>
  </w:footnote>
  <w:footnote w:id="31">
    <w:p w:rsidR="0008319E" w:rsidRPr="00F54D3C" w:rsidRDefault="0008319E" w:rsidP="00712A43">
      <w:pPr>
        <w:pStyle w:val="Funotentext"/>
        <w:rPr>
          <w:rFonts w:ascii="Times New Roman" w:hAnsi="Times New Roman" w:cs="Times New Roman"/>
        </w:rPr>
      </w:pPr>
      <w:r>
        <w:rPr>
          <w:rStyle w:val="Funotenzeichen"/>
        </w:rPr>
        <w:footnoteRef/>
      </w:r>
      <w:r>
        <w:t xml:space="preserve"> </w:t>
      </w:r>
      <w:proofErr w:type="spellStart"/>
      <w:r>
        <w:rPr>
          <w:rFonts w:ascii="Times New Roman" w:hAnsi="Times New Roman" w:cs="Times New Roman"/>
        </w:rPr>
        <w:t>Olden</w:t>
      </w:r>
      <w:proofErr w:type="spellEnd"/>
      <w:r>
        <w:rPr>
          <w:rFonts w:ascii="Times New Roman" w:hAnsi="Times New Roman" w:cs="Times New Roman"/>
        </w:rPr>
        <w:t xml:space="preserve"> ist die Herleitung des Wortes vermutlich geläufig. Das mittelhochdeutsche „</w:t>
      </w:r>
      <w:proofErr w:type="spellStart"/>
      <w:r>
        <w:rPr>
          <w:rFonts w:ascii="Times New Roman" w:hAnsi="Times New Roman" w:cs="Times New Roman"/>
        </w:rPr>
        <w:t>ellende</w:t>
      </w:r>
      <w:proofErr w:type="spellEnd"/>
      <w:r>
        <w:rPr>
          <w:rFonts w:ascii="Times New Roman" w:hAnsi="Times New Roman" w:cs="Times New Roman"/>
        </w:rPr>
        <w:t>“ bezeichnet das andere Land, das Leben in der Fremde, die Verbannung. – Hervorhebung F.T.</w:t>
      </w:r>
    </w:p>
  </w:footnote>
  <w:footnote w:id="32">
    <w:p w:rsidR="0008319E" w:rsidRPr="004A1B20" w:rsidRDefault="0008319E">
      <w:pPr>
        <w:pStyle w:val="Funotentext"/>
        <w:rPr>
          <w:rFonts w:ascii="Times New Roman" w:hAnsi="Times New Roman" w:cs="Times New Roman"/>
        </w:rPr>
      </w:pPr>
      <w:r>
        <w:rPr>
          <w:rStyle w:val="Funotenzeichen"/>
        </w:rPr>
        <w:footnoteRef/>
      </w:r>
      <w:r>
        <w:t xml:space="preserve"> </w:t>
      </w:r>
      <w:r>
        <w:rPr>
          <w:rFonts w:ascii="Times New Roman" w:hAnsi="Times New Roman" w:cs="Times New Roman"/>
        </w:rPr>
        <w:t>S.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2719"/>
      <w:docPartObj>
        <w:docPartGallery w:val="Page Numbers (Top of Page)"/>
        <w:docPartUnique/>
      </w:docPartObj>
    </w:sdtPr>
    <w:sdtEndPr/>
    <w:sdtContent>
      <w:p w:rsidR="0008319E" w:rsidRDefault="000D33A6">
        <w:pPr>
          <w:pStyle w:val="Kopfzeile"/>
          <w:jc w:val="right"/>
        </w:pPr>
        <w:r>
          <w:fldChar w:fldCharType="begin"/>
        </w:r>
        <w:r>
          <w:instrText xml:space="preserve"> PAGE   \* MERGEFORMAT </w:instrText>
        </w:r>
        <w:r>
          <w:fldChar w:fldCharType="separate"/>
        </w:r>
        <w:r w:rsidR="008B7447">
          <w:rPr>
            <w:noProof/>
          </w:rPr>
          <w:t>10</w:t>
        </w:r>
        <w:r>
          <w:rPr>
            <w:noProof/>
          </w:rPr>
          <w:fldChar w:fldCharType="end"/>
        </w:r>
      </w:p>
    </w:sdtContent>
  </w:sdt>
  <w:p w:rsidR="0008319E" w:rsidRDefault="000831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054AF"/>
    <w:multiLevelType w:val="hybridMultilevel"/>
    <w:tmpl w:val="2A508700"/>
    <w:lvl w:ilvl="0" w:tplc="04070011">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6CC6"/>
    <w:rsid w:val="00026592"/>
    <w:rsid w:val="000410B9"/>
    <w:rsid w:val="000444FC"/>
    <w:rsid w:val="00053A76"/>
    <w:rsid w:val="0006092D"/>
    <w:rsid w:val="0008319E"/>
    <w:rsid w:val="0008730A"/>
    <w:rsid w:val="000876BE"/>
    <w:rsid w:val="000B279A"/>
    <w:rsid w:val="000D33A6"/>
    <w:rsid w:val="000D42F7"/>
    <w:rsid w:val="000F5ABD"/>
    <w:rsid w:val="00117041"/>
    <w:rsid w:val="00117783"/>
    <w:rsid w:val="00131005"/>
    <w:rsid w:val="00142A2D"/>
    <w:rsid w:val="001440F9"/>
    <w:rsid w:val="00150283"/>
    <w:rsid w:val="001668DB"/>
    <w:rsid w:val="0017091E"/>
    <w:rsid w:val="001941E5"/>
    <w:rsid w:val="001954B5"/>
    <w:rsid w:val="001A64BC"/>
    <w:rsid w:val="001B6FA4"/>
    <w:rsid w:val="001C5570"/>
    <w:rsid w:val="001C6C03"/>
    <w:rsid w:val="001E6E9F"/>
    <w:rsid w:val="001F71AD"/>
    <w:rsid w:val="00205F6F"/>
    <w:rsid w:val="00206CC6"/>
    <w:rsid w:val="00207593"/>
    <w:rsid w:val="00217C47"/>
    <w:rsid w:val="00235E2F"/>
    <w:rsid w:val="00236424"/>
    <w:rsid w:val="00240BAD"/>
    <w:rsid w:val="0024647F"/>
    <w:rsid w:val="002571C4"/>
    <w:rsid w:val="002657E5"/>
    <w:rsid w:val="002878D9"/>
    <w:rsid w:val="002949B7"/>
    <w:rsid w:val="00294BFB"/>
    <w:rsid w:val="002A154E"/>
    <w:rsid w:val="002B3623"/>
    <w:rsid w:val="002E2C39"/>
    <w:rsid w:val="003159A4"/>
    <w:rsid w:val="0032709E"/>
    <w:rsid w:val="00343A84"/>
    <w:rsid w:val="003523A8"/>
    <w:rsid w:val="0035710A"/>
    <w:rsid w:val="00357C25"/>
    <w:rsid w:val="0036113B"/>
    <w:rsid w:val="00373694"/>
    <w:rsid w:val="003A151B"/>
    <w:rsid w:val="003A294F"/>
    <w:rsid w:val="003A3FD2"/>
    <w:rsid w:val="003B1211"/>
    <w:rsid w:val="003C26F5"/>
    <w:rsid w:val="003F49CE"/>
    <w:rsid w:val="003F5DEA"/>
    <w:rsid w:val="004043E4"/>
    <w:rsid w:val="0042245F"/>
    <w:rsid w:val="00444058"/>
    <w:rsid w:val="00447EC3"/>
    <w:rsid w:val="00455F07"/>
    <w:rsid w:val="00462EF3"/>
    <w:rsid w:val="00482AB2"/>
    <w:rsid w:val="004845ED"/>
    <w:rsid w:val="00487CD5"/>
    <w:rsid w:val="00497D6E"/>
    <w:rsid w:val="004A1B20"/>
    <w:rsid w:val="004A7E54"/>
    <w:rsid w:val="004C182D"/>
    <w:rsid w:val="004C5B51"/>
    <w:rsid w:val="004D2BBE"/>
    <w:rsid w:val="004D3F9C"/>
    <w:rsid w:val="004F399C"/>
    <w:rsid w:val="004F4532"/>
    <w:rsid w:val="0050575A"/>
    <w:rsid w:val="0053639D"/>
    <w:rsid w:val="00545D11"/>
    <w:rsid w:val="00554E13"/>
    <w:rsid w:val="00561B9F"/>
    <w:rsid w:val="00570DC5"/>
    <w:rsid w:val="00571E77"/>
    <w:rsid w:val="0058052B"/>
    <w:rsid w:val="005A1933"/>
    <w:rsid w:val="005A2D14"/>
    <w:rsid w:val="005A496F"/>
    <w:rsid w:val="005E6E79"/>
    <w:rsid w:val="005E7938"/>
    <w:rsid w:val="005F18C7"/>
    <w:rsid w:val="0061554E"/>
    <w:rsid w:val="00616A13"/>
    <w:rsid w:val="00624BAA"/>
    <w:rsid w:val="00624C34"/>
    <w:rsid w:val="00625E01"/>
    <w:rsid w:val="00627D4D"/>
    <w:rsid w:val="00641CBB"/>
    <w:rsid w:val="00650D38"/>
    <w:rsid w:val="00653FFD"/>
    <w:rsid w:val="0066035F"/>
    <w:rsid w:val="00664975"/>
    <w:rsid w:val="00682C77"/>
    <w:rsid w:val="006A00F2"/>
    <w:rsid w:val="006A63A8"/>
    <w:rsid w:val="006A7333"/>
    <w:rsid w:val="006B04FD"/>
    <w:rsid w:val="006B7867"/>
    <w:rsid w:val="006C141C"/>
    <w:rsid w:val="006C3602"/>
    <w:rsid w:val="006D7BD4"/>
    <w:rsid w:val="006E0183"/>
    <w:rsid w:val="006E1A82"/>
    <w:rsid w:val="00712A43"/>
    <w:rsid w:val="00745D6D"/>
    <w:rsid w:val="00750CEB"/>
    <w:rsid w:val="00750D53"/>
    <w:rsid w:val="00752308"/>
    <w:rsid w:val="0076070F"/>
    <w:rsid w:val="00783BB8"/>
    <w:rsid w:val="00793D2D"/>
    <w:rsid w:val="007A5002"/>
    <w:rsid w:val="007C7A08"/>
    <w:rsid w:val="007D13DF"/>
    <w:rsid w:val="007D5D7B"/>
    <w:rsid w:val="007D77BD"/>
    <w:rsid w:val="007F5D6C"/>
    <w:rsid w:val="00827BEE"/>
    <w:rsid w:val="00833775"/>
    <w:rsid w:val="00837595"/>
    <w:rsid w:val="008469A0"/>
    <w:rsid w:val="0085038F"/>
    <w:rsid w:val="00863203"/>
    <w:rsid w:val="00863AB2"/>
    <w:rsid w:val="0086407E"/>
    <w:rsid w:val="0086690D"/>
    <w:rsid w:val="0087229D"/>
    <w:rsid w:val="00874D23"/>
    <w:rsid w:val="00893ABE"/>
    <w:rsid w:val="008A513E"/>
    <w:rsid w:val="008B7447"/>
    <w:rsid w:val="008C083A"/>
    <w:rsid w:val="008C3582"/>
    <w:rsid w:val="008C5161"/>
    <w:rsid w:val="008C5E92"/>
    <w:rsid w:val="008D24A8"/>
    <w:rsid w:val="008D410B"/>
    <w:rsid w:val="008E15AC"/>
    <w:rsid w:val="008E7EB9"/>
    <w:rsid w:val="008F3DE0"/>
    <w:rsid w:val="0093264E"/>
    <w:rsid w:val="0093666A"/>
    <w:rsid w:val="00941B46"/>
    <w:rsid w:val="0095156C"/>
    <w:rsid w:val="00957959"/>
    <w:rsid w:val="0097397E"/>
    <w:rsid w:val="009915E2"/>
    <w:rsid w:val="009B5723"/>
    <w:rsid w:val="009C396B"/>
    <w:rsid w:val="009E0218"/>
    <w:rsid w:val="009E5F98"/>
    <w:rsid w:val="009F6E92"/>
    <w:rsid w:val="00A3641E"/>
    <w:rsid w:val="00A44750"/>
    <w:rsid w:val="00A56EF3"/>
    <w:rsid w:val="00A63EF4"/>
    <w:rsid w:val="00A700D2"/>
    <w:rsid w:val="00A71434"/>
    <w:rsid w:val="00A72C5F"/>
    <w:rsid w:val="00AE05E9"/>
    <w:rsid w:val="00B00917"/>
    <w:rsid w:val="00B11F96"/>
    <w:rsid w:val="00B12A06"/>
    <w:rsid w:val="00B35E8F"/>
    <w:rsid w:val="00B45430"/>
    <w:rsid w:val="00B5334C"/>
    <w:rsid w:val="00B66C22"/>
    <w:rsid w:val="00B77ABD"/>
    <w:rsid w:val="00B85C69"/>
    <w:rsid w:val="00B97E56"/>
    <w:rsid w:val="00BB2EE6"/>
    <w:rsid w:val="00BD450A"/>
    <w:rsid w:val="00BD7AB7"/>
    <w:rsid w:val="00BE141E"/>
    <w:rsid w:val="00C01A7E"/>
    <w:rsid w:val="00C0316F"/>
    <w:rsid w:val="00C1697E"/>
    <w:rsid w:val="00C45F49"/>
    <w:rsid w:val="00C462D7"/>
    <w:rsid w:val="00C660F2"/>
    <w:rsid w:val="00C95600"/>
    <w:rsid w:val="00CA6C9F"/>
    <w:rsid w:val="00CC396E"/>
    <w:rsid w:val="00CD30F0"/>
    <w:rsid w:val="00CD3525"/>
    <w:rsid w:val="00CE0EC2"/>
    <w:rsid w:val="00CE4D5B"/>
    <w:rsid w:val="00D2122A"/>
    <w:rsid w:val="00D332E5"/>
    <w:rsid w:val="00D43F87"/>
    <w:rsid w:val="00D54B88"/>
    <w:rsid w:val="00D54DD2"/>
    <w:rsid w:val="00D6316E"/>
    <w:rsid w:val="00D6342D"/>
    <w:rsid w:val="00D64A28"/>
    <w:rsid w:val="00D654E2"/>
    <w:rsid w:val="00D67235"/>
    <w:rsid w:val="00D7783C"/>
    <w:rsid w:val="00D8074B"/>
    <w:rsid w:val="00D903BC"/>
    <w:rsid w:val="00D9639D"/>
    <w:rsid w:val="00D9672C"/>
    <w:rsid w:val="00DB381B"/>
    <w:rsid w:val="00DC16CA"/>
    <w:rsid w:val="00DC1803"/>
    <w:rsid w:val="00DD3370"/>
    <w:rsid w:val="00DE02ED"/>
    <w:rsid w:val="00DE13F1"/>
    <w:rsid w:val="00DE42EA"/>
    <w:rsid w:val="00DF0B37"/>
    <w:rsid w:val="00DF3331"/>
    <w:rsid w:val="00E01927"/>
    <w:rsid w:val="00E268CC"/>
    <w:rsid w:val="00E3220E"/>
    <w:rsid w:val="00E45DBC"/>
    <w:rsid w:val="00E50BC5"/>
    <w:rsid w:val="00E53256"/>
    <w:rsid w:val="00E9656A"/>
    <w:rsid w:val="00EC14A3"/>
    <w:rsid w:val="00EC45C5"/>
    <w:rsid w:val="00F0303D"/>
    <w:rsid w:val="00F1740A"/>
    <w:rsid w:val="00F17ED0"/>
    <w:rsid w:val="00F45006"/>
    <w:rsid w:val="00F5241A"/>
    <w:rsid w:val="00F53AD9"/>
    <w:rsid w:val="00F54D3C"/>
    <w:rsid w:val="00F7210F"/>
    <w:rsid w:val="00F81CF9"/>
    <w:rsid w:val="00F86884"/>
    <w:rsid w:val="00F930E7"/>
    <w:rsid w:val="00FA2863"/>
    <w:rsid w:val="00FB1143"/>
    <w:rsid w:val="00FB6CE0"/>
    <w:rsid w:val="00FC2070"/>
    <w:rsid w:val="00FD421E"/>
    <w:rsid w:val="00FE5283"/>
    <w:rsid w:val="00FF281D"/>
    <w:rsid w:val="00FF7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6CC6"/>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6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CC6"/>
    <w:rPr>
      <w:rFonts w:ascii="Times New Roman" w:hAnsi="Times New Roman" w:cs="Times New Roman"/>
      <w:sz w:val="24"/>
      <w:szCs w:val="24"/>
    </w:rPr>
  </w:style>
  <w:style w:type="paragraph" w:styleId="Fuzeile">
    <w:name w:val="footer"/>
    <w:basedOn w:val="Standard"/>
    <w:link w:val="FuzeileZchn"/>
    <w:uiPriority w:val="99"/>
    <w:semiHidden/>
    <w:unhideWhenUsed/>
    <w:rsid w:val="00206CC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06CC6"/>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DC16CA"/>
    <w:pPr>
      <w:spacing w:after="0" w:line="240" w:lineRule="auto"/>
    </w:pPr>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DC16CA"/>
    <w:rPr>
      <w:sz w:val="20"/>
      <w:szCs w:val="20"/>
    </w:rPr>
  </w:style>
  <w:style w:type="character" w:styleId="Funotenzeichen">
    <w:name w:val="footnote reference"/>
    <w:basedOn w:val="Absatz-Standardschriftart"/>
    <w:uiPriority w:val="99"/>
    <w:semiHidden/>
    <w:unhideWhenUsed/>
    <w:rsid w:val="00DC16CA"/>
    <w:rPr>
      <w:vertAlign w:val="superscript"/>
    </w:rPr>
  </w:style>
  <w:style w:type="paragraph" w:styleId="Sprechblasentext">
    <w:name w:val="Balloon Text"/>
    <w:basedOn w:val="Standard"/>
    <w:link w:val="SprechblasentextZchn"/>
    <w:uiPriority w:val="99"/>
    <w:semiHidden/>
    <w:unhideWhenUsed/>
    <w:rsid w:val="00F81C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1CF9"/>
    <w:rPr>
      <w:rFonts w:ascii="Tahoma" w:hAnsi="Tahoma" w:cs="Tahoma"/>
      <w:sz w:val="16"/>
      <w:szCs w:val="16"/>
    </w:rPr>
  </w:style>
  <w:style w:type="paragraph" w:styleId="Listenabsatz">
    <w:name w:val="List Paragraph"/>
    <w:basedOn w:val="Standard"/>
    <w:uiPriority w:val="34"/>
    <w:qFormat/>
    <w:rsid w:val="00207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0D57-1C8C-4AAA-96D1-14E3E61B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3686</Words>
  <Characters>23225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2011-01-15T10:22:00Z</cp:lastPrinted>
  <dcterms:created xsi:type="dcterms:W3CDTF">2011-01-13T16:08:00Z</dcterms:created>
  <dcterms:modified xsi:type="dcterms:W3CDTF">2012-08-01T14:09:00Z</dcterms:modified>
</cp:coreProperties>
</file>