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44" w:rsidRDefault="003D3744" w:rsidP="003E3BE1">
      <w:pPr>
        <w:spacing w:after="0"/>
        <w:jc w:val="both"/>
        <w:rPr>
          <w:b/>
          <w:sz w:val="24"/>
          <w:szCs w:val="24"/>
        </w:rPr>
      </w:pPr>
      <w:bookmarkStart w:id="0" w:name="_GoBack"/>
      <w:r>
        <w:rPr>
          <w:b/>
          <w:sz w:val="24"/>
          <w:szCs w:val="24"/>
        </w:rPr>
        <w:t>(</w:t>
      </w:r>
      <w:r w:rsidR="001252F5">
        <w:rPr>
          <w:b/>
          <w:sz w:val="24"/>
          <w:szCs w:val="24"/>
        </w:rPr>
        <w:t>21</w:t>
      </w:r>
      <w:r>
        <w:rPr>
          <w:b/>
          <w:sz w:val="24"/>
          <w:szCs w:val="24"/>
        </w:rPr>
        <w:t xml:space="preserve">) Positionen </w:t>
      </w:r>
      <w:r w:rsidR="00CB0CC9">
        <w:rPr>
          <w:b/>
          <w:sz w:val="24"/>
          <w:szCs w:val="24"/>
        </w:rPr>
        <w:t>6</w:t>
      </w:r>
      <w:r>
        <w:rPr>
          <w:b/>
          <w:sz w:val="24"/>
          <w:szCs w:val="24"/>
        </w:rPr>
        <w:t xml:space="preserve">: </w:t>
      </w:r>
    </w:p>
    <w:p w:rsidR="003D3744" w:rsidRPr="00594BED" w:rsidRDefault="00594BED" w:rsidP="003E3BE1">
      <w:pPr>
        <w:spacing w:after="0"/>
        <w:jc w:val="both"/>
        <w:rPr>
          <w:b/>
          <w:i/>
          <w:sz w:val="24"/>
          <w:szCs w:val="24"/>
        </w:rPr>
      </w:pPr>
      <w:r>
        <w:rPr>
          <w:b/>
          <w:sz w:val="24"/>
          <w:szCs w:val="24"/>
        </w:rPr>
        <w:t>Recht und Rechtswirklichkeit im nationalsozialistischen Staat – E</w:t>
      </w:r>
      <w:r w:rsidR="003D3744">
        <w:rPr>
          <w:b/>
          <w:sz w:val="24"/>
          <w:szCs w:val="24"/>
        </w:rPr>
        <w:t xml:space="preserve">rnst </w:t>
      </w:r>
      <w:proofErr w:type="spellStart"/>
      <w:r w:rsidR="003D3744">
        <w:rPr>
          <w:b/>
          <w:sz w:val="24"/>
          <w:szCs w:val="24"/>
        </w:rPr>
        <w:t>Fraenkel</w:t>
      </w:r>
      <w:proofErr w:type="spellEnd"/>
      <w:r w:rsidR="003D3744">
        <w:rPr>
          <w:b/>
          <w:sz w:val="24"/>
          <w:szCs w:val="24"/>
        </w:rPr>
        <w:t xml:space="preserve">: </w:t>
      </w:r>
      <w:r w:rsidR="003D3744" w:rsidRPr="00594BED">
        <w:rPr>
          <w:b/>
          <w:i/>
          <w:sz w:val="24"/>
          <w:szCs w:val="24"/>
        </w:rPr>
        <w:t>Der Doppelstaat</w:t>
      </w:r>
    </w:p>
    <w:p w:rsidR="003D3744" w:rsidRDefault="003D3744" w:rsidP="003E3BE1">
      <w:pPr>
        <w:spacing w:after="0"/>
        <w:jc w:val="both"/>
        <w:rPr>
          <w:b/>
          <w:sz w:val="24"/>
          <w:szCs w:val="24"/>
        </w:rPr>
      </w:pPr>
    </w:p>
    <w:p w:rsidR="003D3744" w:rsidRDefault="003D3744" w:rsidP="003E3BE1">
      <w:pPr>
        <w:spacing w:after="0"/>
        <w:jc w:val="both"/>
        <w:rPr>
          <w:sz w:val="24"/>
          <w:szCs w:val="24"/>
        </w:rPr>
      </w:pPr>
      <w:r w:rsidRPr="00397328">
        <w:rPr>
          <w:sz w:val="24"/>
          <w:szCs w:val="24"/>
        </w:rPr>
        <w:t xml:space="preserve">Die </w:t>
      </w:r>
      <w:r w:rsidR="00943617" w:rsidRPr="00397328">
        <w:rPr>
          <w:sz w:val="24"/>
          <w:szCs w:val="24"/>
        </w:rPr>
        <w:t>politische</w:t>
      </w:r>
      <w:r w:rsidR="00F74A68">
        <w:rPr>
          <w:sz w:val="24"/>
          <w:szCs w:val="24"/>
        </w:rPr>
        <w:t xml:space="preserve"> Entwicklung, die sich seit 1933 vollzog, hatte in</w:t>
      </w:r>
      <w:r w:rsidR="00943617">
        <w:rPr>
          <w:sz w:val="24"/>
          <w:szCs w:val="24"/>
        </w:rPr>
        <w:t xml:space="preserve"> der jüdischen Bevölkerung</w:t>
      </w:r>
      <w:r w:rsidR="00943617">
        <w:rPr>
          <w:sz w:val="24"/>
          <w:szCs w:val="24"/>
        </w:rPr>
        <w:t>s</w:t>
      </w:r>
      <w:r w:rsidR="00943617">
        <w:rPr>
          <w:sz w:val="24"/>
          <w:szCs w:val="24"/>
        </w:rPr>
        <w:t>gruppe</w:t>
      </w:r>
      <w:r w:rsidR="00F74A68">
        <w:rPr>
          <w:sz w:val="24"/>
          <w:szCs w:val="24"/>
        </w:rPr>
        <w:t xml:space="preserve"> einen Schock</w:t>
      </w:r>
      <w:r w:rsidR="00094A80">
        <w:rPr>
          <w:sz w:val="24"/>
          <w:szCs w:val="24"/>
        </w:rPr>
        <w:t xml:space="preserve"> und</w:t>
      </w:r>
      <w:r w:rsidR="00F74A68">
        <w:rPr>
          <w:sz w:val="24"/>
          <w:szCs w:val="24"/>
        </w:rPr>
        <w:t xml:space="preserve"> </w:t>
      </w:r>
      <w:r>
        <w:rPr>
          <w:sz w:val="24"/>
          <w:szCs w:val="24"/>
        </w:rPr>
        <w:t>tiefgreifende Verunsicherung aus</w:t>
      </w:r>
      <w:r w:rsidR="002478C5">
        <w:rPr>
          <w:sz w:val="24"/>
          <w:szCs w:val="24"/>
        </w:rPr>
        <w:t>gelöst</w:t>
      </w:r>
      <w:r>
        <w:rPr>
          <w:sz w:val="24"/>
          <w:szCs w:val="24"/>
        </w:rPr>
        <w:t xml:space="preserve">. </w:t>
      </w:r>
      <w:r w:rsidR="00094A80">
        <w:rPr>
          <w:sz w:val="24"/>
          <w:szCs w:val="24"/>
        </w:rPr>
        <w:t>E</w:t>
      </w:r>
      <w:r>
        <w:rPr>
          <w:sz w:val="24"/>
          <w:szCs w:val="24"/>
        </w:rPr>
        <w:t xml:space="preserve">s </w:t>
      </w:r>
      <w:r w:rsidR="00094A80">
        <w:rPr>
          <w:sz w:val="24"/>
          <w:szCs w:val="24"/>
        </w:rPr>
        <w:t xml:space="preserve">war offensichtlich, dass es </w:t>
      </w:r>
      <w:r>
        <w:rPr>
          <w:sz w:val="24"/>
          <w:szCs w:val="24"/>
        </w:rPr>
        <w:t xml:space="preserve">sich um einen </w:t>
      </w:r>
      <w:r w:rsidR="002478C5">
        <w:rPr>
          <w:sz w:val="24"/>
          <w:szCs w:val="24"/>
        </w:rPr>
        <w:t>irreversibl</w:t>
      </w:r>
      <w:r>
        <w:rPr>
          <w:sz w:val="24"/>
          <w:szCs w:val="24"/>
        </w:rPr>
        <w:t xml:space="preserve">en Einschnitt, </w:t>
      </w:r>
      <w:r w:rsidR="00695B59">
        <w:rPr>
          <w:sz w:val="24"/>
          <w:szCs w:val="24"/>
        </w:rPr>
        <w:t xml:space="preserve">allerdings </w:t>
      </w:r>
      <w:r w:rsidR="0090210E">
        <w:rPr>
          <w:sz w:val="24"/>
          <w:szCs w:val="24"/>
        </w:rPr>
        <w:t>nicht,</w:t>
      </w:r>
      <w:r w:rsidR="00F74A68">
        <w:rPr>
          <w:sz w:val="24"/>
          <w:szCs w:val="24"/>
        </w:rPr>
        <w:t xml:space="preserve"> dass </w:t>
      </w:r>
      <w:r w:rsidR="0090210E">
        <w:rPr>
          <w:sz w:val="24"/>
          <w:szCs w:val="24"/>
        </w:rPr>
        <w:t xml:space="preserve">es sich um </w:t>
      </w:r>
      <w:r w:rsidR="00F74A68">
        <w:rPr>
          <w:sz w:val="24"/>
          <w:szCs w:val="24"/>
        </w:rPr>
        <w:t xml:space="preserve">die Vorzeichen einer kommenden Katastrophe </w:t>
      </w:r>
      <w:r w:rsidR="0090210E">
        <w:rPr>
          <w:sz w:val="24"/>
          <w:szCs w:val="24"/>
        </w:rPr>
        <w:t xml:space="preserve">handelte. </w:t>
      </w:r>
      <w:r w:rsidR="00C40E85">
        <w:rPr>
          <w:sz w:val="24"/>
          <w:szCs w:val="24"/>
        </w:rPr>
        <w:t>Noch</w:t>
      </w:r>
      <w:r>
        <w:rPr>
          <w:sz w:val="24"/>
          <w:szCs w:val="24"/>
        </w:rPr>
        <w:t xml:space="preserve"> hatte </w:t>
      </w:r>
      <w:r w:rsidR="00C40E85">
        <w:rPr>
          <w:sz w:val="24"/>
          <w:szCs w:val="24"/>
        </w:rPr>
        <w:t xml:space="preserve">man </w:t>
      </w:r>
      <w:r>
        <w:rPr>
          <w:sz w:val="24"/>
          <w:szCs w:val="24"/>
        </w:rPr>
        <w:t xml:space="preserve">die Hoffnung </w:t>
      </w:r>
      <w:r w:rsidR="00F74A68">
        <w:rPr>
          <w:sz w:val="24"/>
          <w:szCs w:val="24"/>
        </w:rPr>
        <w:t xml:space="preserve">nicht </w:t>
      </w:r>
      <w:r>
        <w:rPr>
          <w:sz w:val="24"/>
          <w:szCs w:val="24"/>
        </w:rPr>
        <w:t xml:space="preserve">aufgegeben, dass </w:t>
      </w:r>
      <w:r w:rsidR="00C40E85">
        <w:rPr>
          <w:sz w:val="24"/>
          <w:szCs w:val="24"/>
        </w:rPr>
        <w:t xml:space="preserve">auch </w:t>
      </w:r>
      <w:r w:rsidR="00CC69ED">
        <w:rPr>
          <w:sz w:val="24"/>
          <w:szCs w:val="24"/>
        </w:rPr>
        <w:t xml:space="preserve">für Juden </w:t>
      </w:r>
      <w:r w:rsidR="00695B59">
        <w:rPr>
          <w:sz w:val="24"/>
          <w:szCs w:val="24"/>
        </w:rPr>
        <w:t xml:space="preserve">sich </w:t>
      </w:r>
      <w:r>
        <w:rPr>
          <w:sz w:val="24"/>
          <w:szCs w:val="24"/>
        </w:rPr>
        <w:t xml:space="preserve">letztendlich </w:t>
      </w:r>
      <w:r w:rsidR="002478C5">
        <w:rPr>
          <w:sz w:val="24"/>
          <w:szCs w:val="24"/>
        </w:rPr>
        <w:t xml:space="preserve">wieder </w:t>
      </w:r>
      <w:r>
        <w:rPr>
          <w:sz w:val="24"/>
          <w:szCs w:val="24"/>
        </w:rPr>
        <w:t xml:space="preserve">‚Normalität‘, also Rechtssicherheit, einstellen werde. Selbst das „Reichsbürgergesetz“ vom 15. September 1935, das </w:t>
      </w:r>
      <w:r w:rsidR="00943617">
        <w:rPr>
          <w:sz w:val="24"/>
          <w:szCs w:val="24"/>
        </w:rPr>
        <w:t>festlegte, dass</w:t>
      </w:r>
      <w:r>
        <w:rPr>
          <w:sz w:val="24"/>
          <w:szCs w:val="24"/>
        </w:rPr>
        <w:t xml:space="preserve"> Juden </w:t>
      </w:r>
      <w:r w:rsidR="00094A80">
        <w:rPr>
          <w:sz w:val="24"/>
          <w:szCs w:val="24"/>
        </w:rPr>
        <w:t xml:space="preserve">zwar „Staatsangehörige“, </w:t>
      </w:r>
      <w:r>
        <w:rPr>
          <w:sz w:val="24"/>
          <w:szCs w:val="24"/>
        </w:rPr>
        <w:t xml:space="preserve">fortan </w:t>
      </w:r>
      <w:r w:rsidR="00094A80">
        <w:rPr>
          <w:sz w:val="24"/>
          <w:szCs w:val="24"/>
        </w:rPr>
        <w:t xml:space="preserve">aber </w:t>
      </w:r>
      <w:r>
        <w:rPr>
          <w:sz w:val="24"/>
          <w:szCs w:val="24"/>
        </w:rPr>
        <w:t xml:space="preserve">keine </w:t>
      </w:r>
      <w:r w:rsidR="00094A80">
        <w:rPr>
          <w:sz w:val="24"/>
          <w:szCs w:val="24"/>
        </w:rPr>
        <w:t>„</w:t>
      </w:r>
      <w:r>
        <w:rPr>
          <w:sz w:val="24"/>
          <w:szCs w:val="24"/>
        </w:rPr>
        <w:t>Reichbürger</w:t>
      </w:r>
      <w:r w:rsidR="00094A80">
        <w:rPr>
          <w:sz w:val="24"/>
          <w:szCs w:val="24"/>
        </w:rPr>
        <w:t>“</w:t>
      </w:r>
      <w:r>
        <w:rPr>
          <w:sz w:val="24"/>
          <w:szCs w:val="24"/>
        </w:rPr>
        <w:t xml:space="preserve"> mehr </w:t>
      </w:r>
      <w:r w:rsidR="00943617">
        <w:rPr>
          <w:sz w:val="24"/>
          <w:szCs w:val="24"/>
        </w:rPr>
        <w:t>sei</w:t>
      </w:r>
      <w:r>
        <w:rPr>
          <w:sz w:val="24"/>
          <w:szCs w:val="24"/>
        </w:rPr>
        <w:t>en,</w:t>
      </w:r>
      <w:r>
        <w:rPr>
          <w:rStyle w:val="Funotenzeichen"/>
          <w:sz w:val="24"/>
          <w:szCs w:val="24"/>
        </w:rPr>
        <w:footnoteReference w:id="1"/>
      </w:r>
      <w:r>
        <w:rPr>
          <w:sz w:val="24"/>
          <w:szCs w:val="24"/>
        </w:rPr>
        <w:t xml:space="preserve"> </w:t>
      </w:r>
      <w:proofErr w:type="gramStart"/>
      <w:r>
        <w:rPr>
          <w:sz w:val="24"/>
          <w:szCs w:val="24"/>
        </w:rPr>
        <w:t>wurde</w:t>
      </w:r>
      <w:proofErr w:type="gramEnd"/>
      <w:r>
        <w:rPr>
          <w:sz w:val="24"/>
          <w:szCs w:val="24"/>
        </w:rPr>
        <w:t xml:space="preserve"> weitgehend als Rückkehr zu einer – wenn auch geminderten – Form von Rechtssicherheit</w:t>
      </w:r>
      <w:r w:rsidR="009614E3" w:rsidRPr="009614E3">
        <w:rPr>
          <w:sz w:val="24"/>
          <w:szCs w:val="24"/>
        </w:rPr>
        <w:t xml:space="preserve"> </w:t>
      </w:r>
      <w:r w:rsidR="009614E3">
        <w:rPr>
          <w:sz w:val="24"/>
          <w:szCs w:val="24"/>
        </w:rPr>
        <w:t>interpretiert</w:t>
      </w:r>
      <w:r>
        <w:rPr>
          <w:sz w:val="24"/>
          <w:szCs w:val="24"/>
        </w:rPr>
        <w:t>.</w:t>
      </w:r>
      <w:r w:rsidR="009614E3">
        <w:rPr>
          <w:rStyle w:val="Funotenzeichen"/>
          <w:sz w:val="24"/>
          <w:szCs w:val="24"/>
        </w:rPr>
        <w:footnoteReference w:id="2"/>
      </w:r>
      <w:r>
        <w:rPr>
          <w:sz w:val="24"/>
          <w:szCs w:val="24"/>
        </w:rPr>
        <w:t xml:space="preserve"> </w:t>
      </w:r>
      <w:r w:rsidR="00C40E85">
        <w:rPr>
          <w:sz w:val="24"/>
          <w:szCs w:val="24"/>
        </w:rPr>
        <w:t>Ein Reflex d</w:t>
      </w:r>
      <w:r w:rsidR="0090210E">
        <w:rPr>
          <w:sz w:val="24"/>
          <w:szCs w:val="24"/>
        </w:rPr>
        <w:t>iese</w:t>
      </w:r>
      <w:r w:rsidR="00C40E85">
        <w:rPr>
          <w:sz w:val="24"/>
          <w:szCs w:val="24"/>
        </w:rPr>
        <w:t>r</w:t>
      </w:r>
      <w:r w:rsidR="00754833">
        <w:rPr>
          <w:sz w:val="24"/>
          <w:szCs w:val="24"/>
        </w:rPr>
        <w:t xml:space="preserve"> E</w:t>
      </w:r>
      <w:r w:rsidR="00C40E85">
        <w:rPr>
          <w:sz w:val="24"/>
          <w:szCs w:val="24"/>
        </w:rPr>
        <w:t>rwartu</w:t>
      </w:r>
      <w:r w:rsidR="00754833">
        <w:rPr>
          <w:sz w:val="24"/>
          <w:szCs w:val="24"/>
        </w:rPr>
        <w:t>ng</w:t>
      </w:r>
      <w:r w:rsidR="0090210E">
        <w:rPr>
          <w:sz w:val="24"/>
          <w:szCs w:val="24"/>
        </w:rPr>
        <w:t xml:space="preserve"> fand sogar </w:t>
      </w:r>
      <w:r w:rsidR="00C33CB3">
        <w:rPr>
          <w:sz w:val="24"/>
          <w:szCs w:val="24"/>
        </w:rPr>
        <w:t xml:space="preserve">Eingang </w:t>
      </w:r>
      <w:r w:rsidR="0090210E">
        <w:rPr>
          <w:sz w:val="24"/>
          <w:szCs w:val="24"/>
        </w:rPr>
        <w:t>i</w:t>
      </w:r>
      <w:r w:rsidR="0056095F">
        <w:rPr>
          <w:sz w:val="24"/>
          <w:szCs w:val="24"/>
        </w:rPr>
        <w:t>n d</w:t>
      </w:r>
      <w:r w:rsidR="000627DC">
        <w:rPr>
          <w:sz w:val="24"/>
          <w:szCs w:val="24"/>
        </w:rPr>
        <w:t>i</w:t>
      </w:r>
      <w:r w:rsidR="0056095F">
        <w:rPr>
          <w:sz w:val="24"/>
          <w:szCs w:val="24"/>
        </w:rPr>
        <w:t>e Berichte von Gestapo und SD</w:t>
      </w:r>
      <w:r w:rsidR="0090210E">
        <w:rPr>
          <w:sz w:val="24"/>
          <w:szCs w:val="24"/>
        </w:rPr>
        <w:t xml:space="preserve">: </w:t>
      </w:r>
      <w:r w:rsidR="00C33CB3">
        <w:rPr>
          <w:sz w:val="24"/>
          <w:szCs w:val="24"/>
        </w:rPr>
        <w:t>D</w:t>
      </w:r>
      <w:r w:rsidR="0090210E">
        <w:rPr>
          <w:sz w:val="24"/>
          <w:szCs w:val="24"/>
        </w:rPr>
        <w:t>ie</w:t>
      </w:r>
      <w:r w:rsidR="00C33CB3">
        <w:rPr>
          <w:sz w:val="24"/>
          <w:szCs w:val="24"/>
        </w:rPr>
        <w:t xml:space="preserve"> Juden</w:t>
      </w:r>
      <w:r w:rsidR="0090210E">
        <w:rPr>
          <w:sz w:val="24"/>
          <w:szCs w:val="24"/>
        </w:rPr>
        <w:t xml:space="preserve"> seien </w:t>
      </w:r>
      <w:r w:rsidR="0056095F">
        <w:rPr>
          <w:sz w:val="24"/>
          <w:szCs w:val="24"/>
        </w:rPr>
        <w:t>„erleichtert, weil die Gesetze, selbst wenn sie einen permanenten Rahmen der Diskrim</w:t>
      </w:r>
      <w:r w:rsidR="0056095F">
        <w:rPr>
          <w:sz w:val="24"/>
          <w:szCs w:val="24"/>
        </w:rPr>
        <w:t>i</w:t>
      </w:r>
      <w:r w:rsidR="0056095F">
        <w:rPr>
          <w:sz w:val="24"/>
          <w:szCs w:val="24"/>
        </w:rPr>
        <w:t xml:space="preserve">nierung </w:t>
      </w:r>
      <w:r w:rsidR="006A764D">
        <w:rPr>
          <w:sz w:val="24"/>
          <w:szCs w:val="24"/>
        </w:rPr>
        <w:t>[schaffen würden]</w:t>
      </w:r>
      <w:r w:rsidR="0056095F">
        <w:rPr>
          <w:sz w:val="24"/>
          <w:szCs w:val="24"/>
        </w:rPr>
        <w:t>, die Herrschaft des willkürlichen Terrors beendeten.“</w:t>
      </w:r>
      <w:r w:rsidR="0056095F">
        <w:rPr>
          <w:rStyle w:val="Funotenzeichen"/>
          <w:sz w:val="24"/>
          <w:szCs w:val="24"/>
        </w:rPr>
        <w:footnoteReference w:id="3"/>
      </w:r>
      <w:r w:rsidR="0056095F">
        <w:rPr>
          <w:sz w:val="24"/>
          <w:szCs w:val="24"/>
        </w:rPr>
        <w:t xml:space="preserve"> </w:t>
      </w:r>
    </w:p>
    <w:p w:rsidR="00DD2424" w:rsidRDefault="003D3744" w:rsidP="003E3BE1">
      <w:pPr>
        <w:spacing w:after="0"/>
        <w:jc w:val="both"/>
        <w:rPr>
          <w:sz w:val="24"/>
          <w:szCs w:val="24"/>
        </w:rPr>
      </w:pPr>
      <w:r>
        <w:rPr>
          <w:sz w:val="24"/>
          <w:szCs w:val="24"/>
        </w:rPr>
        <w:tab/>
        <w:t xml:space="preserve">Die Gründe für diese Fehleinschätzung </w:t>
      </w:r>
      <w:r w:rsidR="00E970D8">
        <w:rPr>
          <w:sz w:val="24"/>
          <w:szCs w:val="24"/>
        </w:rPr>
        <w:t>sind</w:t>
      </w:r>
      <w:r>
        <w:rPr>
          <w:sz w:val="24"/>
          <w:szCs w:val="24"/>
        </w:rPr>
        <w:t xml:space="preserve"> vielfältig. Die deutsch-jüdische Gemei</w:t>
      </w:r>
      <w:r>
        <w:rPr>
          <w:sz w:val="24"/>
          <w:szCs w:val="24"/>
        </w:rPr>
        <w:t>n</w:t>
      </w:r>
      <w:r>
        <w:rPr>
          <w:sz w:val="24"/>
          <w:szCs w:val="24"/>
        </w:rPr>
        <w:t xml:space="preserve">schaft war traditionell eine in besonderer Weise </w:t>
      </w:r>
      <w:r w:rsidR="00F3647E">
        <w:rPr>
          <w:sz w:val="24"/>
          <w:szCs w:val="24"/>
        </w:rPr>
        <w:t>politisch gemäßigte</w:t>
      </w:r>
      <w:r>
        <w:rPr>
          <w:sz w:val="24"/>
          <w:szCs w:val="24"/>
        </w:rPr>
        <w:t xml:space="preserve"> soziale Gruppierung. Sie zeichnete sich nicht allein durch Konservativismus, sondern darüber hinaus durch eine eige</w:t>
      </w:r>
      <w:r>
        <w:rPr>
          <w:sz w:val="24"/>
          <w:szCs w:val="24"/>
        </w:rPr>
        <w:t>n</w:t>
      </w:r>
      <w:r>
        <w:rPr>
          <w:sz w:val="24"/>
          <w:szCs w:val="24"/>
        </w:rPr>
        <w:t xml:space="preserve">tümliche </w:t>
      </w:r>
      <w:r w:rsidR="006A764D">
        <w:rPr>
          <w:sz w:val="24"/>
          <w:szCs w:val="24"/>
        </w:rPr>
        <w:t>‚</w:t>
      </w:r>
      <w:r>
        <w:rPr>
          <w:sz w:val="24"/>
          <w:szCs w:val="24"/>
        </w:rPr>
        <w:t>Staatsgläubigkeit</w:t>
      </w:r>
      <w:r w:rsidR="006A764D">
        <w:rPr>
          <w:sz w:val="24"/>
          <w:szCs w:val="24"/>
        </w:rPr>
        <w:t>‘</w:t>
      </w:r>
      <w:r>
        <w:rPr>
          <w:sz w:val="24"/>
          <w:szCs w:val="24"/>
        </w:rPr>
        <w:t xml:space="preserve"> aus</w:t>
      </w:r>
      <w:r w:rsidR="009614E3">
        <w:rPr>
          <w:sz w:val="24"/>
          <w:szCs w:val="24"/>
        </w:rPr>
        <w:t>.</w:t>
      </w:r>
      <w:r>
        <w:rPr>
          <w:rStyle w:val="Funotenzeichen"/>
          <w:sz w:val="24"/>
          <w:szCs w:val="24"/>
        </w:rPr>
        <w:footnoteReference w:id="4"/>
      </w:r>
      <w:r>
        <w:rPr>
          <w:sz w:val="24"/>
          <w:szCs w:val="24"/>
        </w:rPr>
        <w:t xml:space="preserve"> D</w:t>
      </w:r>
      <w:r w:rsidR="009614E3">
        <w:rPr>
          <w:sz w:val="24"/>
          <w:szCs w:val="24"/>
        </w:rPr>
        <w:t>ie</w:t>
      </w:r>
      <w:r w:rsidR="000627DC">
        <w:rPr>
          <w:sz w:val="24"/>
          <w:szCs w:val="24"/>
        </w:rPr>
        <w:t xml:space="preserve"> Einstellung</w:t>
      </w:r>
      <w:r>
        <w:rPr>
          <w:sz w:val="24"/>
          <w:szCs w:val="24"/>
        </w:rPr>
        <w:t xml:space="preserve"> war vermutlich Resultat historischer Erfa</w:t>
      </w:r>
      <w:r>
        <w:rPr>
          <w:sz w:val="24"/>
          <w:szCs w:val="24"/>
        </w:rPr>
        <w:t>h</w:t>
      </w:r>
      <w:r>
        <w:rPr>
          <w:sz w:val="24"/>
          <w:szCs w:val="24"/>
        </w:rPr>
        <w:t xml:space="preserve">rungen. </w:t>
      </w:r>
      <w:r w:rsidR="00E970D8">
        <w:rPr>
          <w:sz w:val="24"/>
          <w:szCs w:val="24"/>
        </w:rPr>
        <w:t xml:space="preserve">In </w:t>
      </w:r>
      <w:r w:rsidR="000627DC">
        <w:rPr>
          <w:sz w:val="24"/>
          <w:szCs w:val="24"/>
        </w:rPr>
        <w:t xml:space="preserve">den </w:t>
      </w:r>
      <w:r w:rsidR="00506817">
        <w:rPr>
          <w:sz w:val="24"/>
          <w:szCs w:val="24"/>
        </w:rPr>
        <w:t xml:space="preserve">vergangenen, </w:t>
      </w:r>
      <w:r w:rsidR="00695B59">
        <w:rPr>
          <w:sz w:val="24"/>
          <w:szCs w:val="24"/>
        </w:rPr>
        <w:t xml:space="preserve">sich </w:t>
      </w:r>
      <w:r w:rsidR="00506817">
        <w:rPr>
          <w:sz w:val="24"/>
          <w:szCs w:val="24"/>
        </w:rPr>
        <w:t xml:space="preserve">periodisch wiederholenden </w:t>
      </w:r>
      <w:r w:rsidR="00E970D8">
        <w:rPr>
          <w:sz w:val="24"/>
          <w:szCs w:val="24"/>
        </w:rPr>
        <w:t>Krisen</w:t>
      </w:r>
      <w:r w:rsidR="000627DC">
        <w:rPr>
          <w:sz w:val="24"/>
          <w:szCs w:val="24"/>
        </w:rPr>
        <w:t xml:space="preserve"> </w:t>
      </w:r>
      <w:r w:rsidR="00E970D8">
        <w:rPr>
          <w:sz w:val="24"/>
          <w:szCs w:val="24"/>
        </w:rPr>
        <w:t>war die staatliche Autor</w:t>
      </w:r>
      <w:r w:rsidR="00E970D8">
        <w:rPr>
          <w:sz w:val="24"/>
          <w:szCs w:val="24"/>
        </w:rPr>
        <w:t>i</w:t>
      </w:r>
      <w:r w:rsidR="00E970D8">
        <w:rPr>
          <w:sz w:val="24"/>
          <w:szCs w:val="24"/>
        </w:rPr>
        <w:t xml:space="preserve">tät – </w:t>
      </w:r>
      <w:r w:rsidR="006A764D">
        <w:rPr>
          <w:sz w:val="24"/>
          <w:szCs w:val="24"/>
        </w:rPr>
        <w:t>oftmals</w:t>
      </w:r>
      <w:r w:rsidR="00E970D8">
        <w:rPr>
          <w:sz w:val="24"/>
          <w:szCs w:val="24"/>
        </w:rPr>
        <w:t xml:space="preserve"> </w:t>
      </w:r>
      <w:r w:rsidR="00F3647E">
        <w:rPr>
          <w:sz w:val="24"/>
          <w:szCs w:val="24"/>
        </w:rPr>
        <w:t>sogar der</w:t>
      </w:r>
      <w:r w:rsidR="00E970D8">
        <w:rPr>
          <w:sz w:val="24"/>
          <w:szCs w:val="24"/>
        </w:rPr>
        <w:t xml:space="preserve"> Monarch</w:t>
      </w:r>
      <w:r w:rsidR="00F3647E">
        <w:rPr>
          <w:sz w:val="24"/>
          <w:szCs w:val="24"/>
        </w:rPr>
        <w:t xml:space="preserve"> selber</w:t>
      </w:r>
      <w:r w:rsidR="00E970D8">
        <w:rPr>
          <w:sz w:val="24"/>
          <w:szCs w:val="24"/>
        </w:rPr>
        <w:t xml:space="preserve"> –</w:t>
      </w:r>
      <w:r w:rsidR="00C40E85">
        <w:rPr>
          <w:sz w:val="24"/>
          <w:szCs w:val="24"/>
        </w:rPr>
        <w:t xml:space="preserve"> </w:t>
      </w:r>
      <w:r w:rsidR="00F3647E">
        <w:rPr>
          <w:sz w:val="24"/>
          <w:szCs w:val="24"/>
        </w:rPr>
        <w:t>immer wieder</w:t>
      </w:r>
      <w:r w:rsidR="00E970D8">
        <w:rPr>
          <w:sz w:val="24"/>
          <w:szCs w:val="24"/>
        </w:rPr>
        <w:t xml:space="preserve"> ein</w:t>
      </w:r>
      <w:r w:rsidR="005F6D4D">
        <w:rPr>
          <w:sz w:val="24"/>
          <w:szCs w:val="24"/>
        </w:rPr>
        <w:t>e</w:t>
      </w:r>
      <w:r w:rsidR="00E970D8">
        <w:rPr>
          <w:sz w:val="24"/>
          <w:szCs w:val="24"/>
        </w:rPr>
        <w:t xml:space="preserve"> letzte</w:t>
      </w:r>
      <w:r w:rsidR="00506817">
        <w:rPr>
          <w:sz w:val="24"/>
          <w:szCs w:val="24"/>
        </w:rPr>
        <w:t xml:space="preserve"> </w:t>
      </w:r>
      <w:r w:rsidR="005F6D4D">
        <w:rPr>
          <w:sz w:val="24"/>
          <w:szCs w:val="24"/>
        </w:rPr>
        <w:t>Barriere</w:t>
      </w:r>
      <w:r w:rsidR="00E970D8">
        <w:rPr>
          <w:sz w:val="24"/>
          <w:szCs w:val="24"/>
        </w:rPr>
        <w:t xml:space="preserve"> </w:t>
      </w:r>
      <w:r w:rsidR="00F3647E">
        <w:rPr>
          <w:sz w:val="24"/>
          <w:szCs w:val="24"/>
        </w:rPr>
        <w:t xml:space="preserve">vor den </w:t>
      </w:r>
      <w:r w:rsidR="005F6D4D">
        <w:rPr>
          <w:sz w:val="24"/>
          <w:szCs w:val="24"/>
        </w:rPr>
        <w:t xml:space="preserve">ins Schrankenlose sich steigernden </w:t>
      </w:r>
      <w:r w:rsidR="00F3647E">
        <w:rPr>
          <w:sz w:val="24"/>
          <w:szCs w:val="24"/>
        </w:rPr>
        <w:t xml:space="preserve">Pogromen </w:t>
      </w:r>
      <w:r w:rsidR="005F6D4D">
        <w:rPr>
          <w:sz w:val="24"/>
          <w:szCs w:val="24"/>
        </w:rPr>
        <w:t xml:space="preserve">und pogromartigen Hetzkampagnen </w:t>
      </w:r>
      <w:r w:rsidR="00E970D8">
        <w:rPr>
          <w:sz w:val="24"/>
          <w:szCs w:val="24"/>
        </w:rPr>
        <w:t>gewesen.</w:t>
      </w:r>
      <w:r>
        <w:rPr>
          <w:sz w:val="24"/>
          <w:szCs w:val="24"/>
        </w:rPr>
        <w:t xml:space="preserve"> </w:t>
      </w:r>
      <w:r w:rsidR="00C33CB3">
        <w:rPr>
          <w:sz w:val="24"/>
          <w:szCs w:val="24"/>
        </w:rPr>
        <w:t xml:space="preserve">Man </w:t>
      </w:r>
      <w:r>
        <w:rPr>
          <w:sz w:val="24"/>
          <w:szCs w:val="24"/>
        </w:rPr>
        <w:t xml:space="preserve">war der Überzeugung, dass Deutschland </w:t>
      </w:r>
      <w:r w:rsidR="00F3647E">
        <w:rPr>
          <w:sz w:val="24"/>
          <w:szCs w:val="24"/>
        </w:rPr>
        <w:t xml:space="preserve">daher </w:t>
      </w:r>
      <w:r>
        <w:rPr>
          <w:sz w:val="24"/>
          <w:szCs w:val="24"/>
        </w:rPr>
        <w:t>auch unter der Herrschaft des Nationalsozi</w:t>
      </w:r>
      <w:r>
        <w:rPr>
          <w:sz w:val="24"/>
          <w:szCs w:val="24"/>
        </w:rPr>
        <w:t>a</w:t>
      </w:r>
      <w:r>
        <w:rPr>
          <w:sz w:val="24"/>
          <w:szCs w:val="24"/>
        </w:rPr>
        <w:t xml:space="preserve">lismus im Kern </w:t>
      </w:r>
      <w:r w:rsidR="00F3647E">
        <w:rPr>
          <w:sz w:val="24"/>
          <w:szCs w:val="24"/>
        </w:rPr>
        <w:t xml:space="preserve">ein „Rechtsstaat“ </w:t>
      </w:r>
      <w:r>
        <w:rPr>
          <w:sz w:val="24"/>
          <w:szCs w:val="24"/>
        </w:rPr>
        <w:t xml:space="preserve">bleiben </w:t>
      </w:r>
      <w:r w:rsidR="00F3647E">
        <w:rPr>
          <w:sz w:val="24"/>
          <w:szCs w:val="24"/>
        </w:rPr>
        <w:t xml:space="preserve">werde und </w:t>
      </w:r>
      <w:r w:rsidR="005F6D4D">
        <w:rPr>
          <w:sz w:val="24"/>
          <w:szCs w:val="24"/>
        </w:rPr>
        <w:t xml:space="preserve">damit </w:t>
      </w:r>
      <w:r w:rsidR="00F3647E">
        <w:rPr>
          <w:sz w:val="24"/>
          <w:szCs w:val="24"/>
        </w:rPr>
        <w:t>der Willkür wie dem schrankenl</w:t>
      </w:r>
      <w:r w:rsidR="00F3647E">
        <w:rPr>
          <w:sz w:val="24"/>
          <w:szCs w:val="24"/>
        </w:rPr>
        <w:t>o</w:t>
      </w:r>
      <w:r w:rsidR="00F3647E">
        <w:rPr>
          <w:sz w:val="24"/>
          <w:szCs w:val="24"/>
        </w:rPr>
        <w:t>sen Exzess Grenzen gesetzt würden</w:t>
      </w:r>
      <w:r>
        <w:rPr>
          <w:sz w:val="24"/>
          <w:szCs w:val="24"/>
        </w:rPr>
        <w:t>. In der Justiz, im Staatsapparat und in der Verwaltung, vor allem aber in der Wirtschaft</w:t>
      </w:r>
      <w:r w:rsidR="002525F0">
        <w:rPr>
          <w:sz w:val="24"/>
          <w:szCs w:val="24"/>
        </w:rPr>
        <w:t>,</w:t>
      </w:r>
      <w:r>
        <w:rPr>
          <w:sz w:val="24"/>
          <w:szCs w:val="24"/>
        </w:rPr>
        <w:t xml:space="preserve"> dominierte </w:t>
      </w:r>
      <w:r w:rsidR="00C40E85">
        <w:rPr>
          <w:sz w:val="24"/>
          <w:szCs w:val="24"/>
        </w:rPr>
        <w:t xml:space="preserve">auch </w:t>
      </w:r>
      <w:r w:rsidR="002525F0">
        <w:rPr>
          <w:sz w:val="24"/>
          <w:szCs w:val="24"/>
        </w:rPr>
        <w:t xml:space="preserve">noch </w:t>
      </w:r>
      <w:r w:rsidR="00C40E85">
        <w:rPr>
          <w:sz w:val="24"/>
          <w:szCs w:val="24"/>
        </w:rPr>
        <w:t xml:space="preserve">jetzt </w:t>
      </w:r>
      <w:r>
        <w:rPr>
          <w:sz w:val="24"/>
          <w:szCs w:val="24"/>
        </w:rPr>
        <w:t xml:space="preserve">das bürgerliche Element, und es bestand </w:t>
      </w:r>
      <w:r w:rsidR="005F6D4D">
        <w:rPr>
          <w:sz w:val="24"/>
          <w:szCs w:val="24"/>
        </w:rPr>
        <w:t xml:space="preserve">deshalb </w:t>
      </w:r>
      <w:r>
        <w:rPr>
          <w:sz w:val="24"/>
          <w:szCs w:val="24"/>
        </w:rPr>
        <w:t>noch immer eine gewisse Hoffnung, dass sich dieses bürgerliche Element letztendlich gegen das „Partei-Element“ durchsetzen werde</w:t>
      </w:r>
      <w:r w:rsidR="00754833">
        <w:rPr>
          <w:sz w:val="24"/>
          <w:szCs w:val="24"/>
        </w:rPr>
        <w:t>.</w:t>
      </w:r>
      <w:r w:rsidR="00297353">
        <w:rPr>
          <w:sz w:val="24"/>
          <w:szCs w:val="24"/>
        </w:rPr>
        <w:t xml:space="preserve"> </w:t>
      </w:r>
      <w:r>
        <w:rPr>
          <w:sz w:val="24"/>
          <w:szCs w:val="24"/>
        </w:rPr>
        <w:t>Der Grund</w:t>
      </w:r>
      <w:r w:rsidR="00297353">
        <w:rPr>
          <w:sz w:val="24"/>
          <w:szCs w:val="24"/>
        </w:rPr>
        <w:t xml:space="preserve"> dafür</w:t>
      </w:r>
      <w:r>
        <w:rPr>
          <w:sz w:val="24"/>
          <w:szCs w:val="24"/>
        </w:rPr>
        <w:t xml:space="preserve">, dass </w:t>
      </w:r>
      <w:r w:rsidR="00297353">
        <w:rPr>
          <w:sz w:val="24"/>
          <w:szCs w:val="24"/>
        </w:rPr>
        <w:t xml:space="preserve">eine </w:t>
      </w:r>
      <w:r>
        <w:rPr>
          <w:sz w:val="24"/>
          <w:szCs w:val="24"/>
        </w:rPr>
        <w:t>so</w:t>
      </w:r>
      <w:r>
        <w:rPr>
          <w:sz w:val="24"/>
          <w:szCs w:val="24"/>
        </w:rPr>
        <w:t>l</w:t>
      </w:r>
      <w:r>
        <w:rPr>
          <w:sz w:val="24"/>
          <w:szCs w:val="24"/>
        </w:rPr>
        <w:t xml:space="preserve">che Illusion Gestalt annehmen konnte, </w:t>
      </w:r>
      <w:r w:rsidR="00297353">
        <w:rPr>
          <w:sz w:val="24"/>
          <w:szCs w:val="24"/>
        </w:rPr>
        <w:t>war die</w:t>
      </w:r>
      <w:r>
        <w:rPr>
          <w:sz w:val="24"/>
          <w:szCs w:val="24"/>
        </w:rPr>
        <w:t xml:space="preserve"> Ambiguität der staatlichen Hoheitsausübung, die für die </w:t>
      </w:r>
      <w:r w:rsidR="004A15D1">
        <w:rPr>
          <w:sz w:val="24"/>
          <w:szCs w:val="24"/>
        </w:rPr>
        <w:t>Period</w:t>
      </w:r>
      <w:r>
        <w:rPr>
          <w:sz w:val="24"/>
          <w:szCs w:val="24"/>
        </w:rPr>
        <w:t>e zwischen 1933 und 1937 charakteristisch ist.</w:t>
      </w:r>
      <w:r w:rsidR="006A764D">
        <w:rPr>
          <w:sz w:val="24"/>
          <w:szCs w:val="24"/>
        </w:rPr>
        <w:t xml:space="preserve"> </w:t>
      </w:r>
    </w:p>
    <w:p w:rsidR="00DD2424" w:rsidRDefault="00DD2424" w:rsidP="003E3BE1">
      <w:pPr>
        <w:spacing w:after="0"/>
        <w:jc w:val="both"/>
        <w:rPr>
          <w:sz w:val="24"/>
          <w:szCs w:val="24"/>
        </w:rPr>
      </w:pPr>
    </w:p>
    <w:p w:rsidR="003D3744" w:rsidRDefault="006A764D" w:rsidP="003E3BE1">
      <w:pPr>
        <w:spacing w:after="0"/>
        <w:ind w:firstLine="708"/>
        <w:jc w:val="both"/>
        <w:rPr>
          <w:sz w:val="24"/>
          <w:szCs w:val="24"/>
        </w:rPr>
      </w:pPr>
      <w:r>
        <w:rPr>
          <w:sz w:val="24"/>
          <w:szCs w:val="24"/>
        </w:rPr>
        <w:lastRenderedPageBreak/>
        <w:t xml:space="preserve">Die Analyse dieser Situation lieferte der Verfassungstheoretiker Ernst </w:t>
      </w:r>
      <w:proofErr w:type="spellStart"/>
      <w:r>
        <w:rPr>
          <w:sz w:val="24"/>
          <w:szCs w:val="24"/>
        </w:rPr>
        <w:t>Fraenkel</w:t>
      </w:r>
      <w:proofErr w:type="spellEnd"/>
      <w:r>
        <w:rPr>
          <w:sz w:val="24"/>
          <w:szCs w:val="24"/>
        </w:rPr>
        <w:t xml:space="preserve"> mit seiner Studie </w:t>
      </w:r>
      <w:r>
        <w:rPr>
          <w:i/>
          <w:sz w:val="24"/>
          <w:szCs w:val="24"/>
        </w:rPr>
        <w:t>Der Doppelstaat.</w:t>
      </w:r>
      <w:r w:rsidRPr="006A764D">
        <w:rPr>
          <w:sz w:val="24"/>
          <w:szCs w:val="24"/>
        </w:rPr>
        <w:t xml:space="preserve"> </w:t>
      </w:r>
      <w:r w:rsidR="00F149A0">
        <w:rPr>
          <w:sz w:val="24"/>
          <w:szCs w:val="24"/>
        </w:rPr>
        <w:t xml:space="preserve">Es ist eine Untersuchung – so der Untertitel – über </w:t>
      </w:r>
      <w:r>
        <w:rPr>
          <w:sz w:val="24"/>
          <w:szCs w:val="24"/>
        </w:rPr>
        <w:t>„Recht und Justiz im ‚Dritten Reich‘“.</w:t>
      </w:r>
      <w:r w:rsidR="00F149A0">
        <w:rPr>
          <w:sz w:val="24"/>
          <w:szCs w:val="24"/>
        </w:rPr>
        <w:t xml:space="preserve"> </w:t>
      </w:r>
      <w:proofErr w:type="spellStart"/>
      <w:r w:rsidR="00DD2424">
        <w:rPr>
          <w:sz w:val="24"/>
          <w:szCs w:val="24"/>
        </w:rPr>
        <w:t>Fraenkel</w:t>
      </w:r>
      <w:proofErr w:type="spellEnd"/>
      <w:r w:rsidR="00DD2424">
        <w:rPr>
          <w:sz w:val="24"/>
          <w:szCs w:val="24"/>
        </w:rPr>
        <w:t xml:space="preserve"> war Mitglied einer in besonderem Maße philosophisch-ethisch geprägten Widerstandsgruppe, des Internationalen Sozialistischen Kampfbundes (ISK). </w:t>
      </w:r>
      <w:r w:rsidR="00070C62">
        <w:rPr>
          <w:sz w:val="24"/>
          <w:szCs w:val="24"/>
        </w:rPr>
        <w:t>Die Arbeit</w:t>
      </w:r>
      <w:r w:rsidR="003D3744">
        <w:rPr>
          <w:sz w:val="24"/>
          <w:szCs w:val="24"/>
        </w:rPr>
        <w:t xml:space="preserve"> entstand zwischen Februar 1933 und Herbst 1938</w:t>
      </w:r>
      <w:r w:rsidR="00F149A0">
        <w:rPr>
          <w:sz w:val="24"/>
          <w:szCs w:val="24"/>
        </w:rPr>
        <w:t xml:space="preserve"> </w:t>
      </w:r>
      <w:r w:rsidR="00F149A0">
        <w:rPr>
          <w:i/>
          <w:sz w:val="24"/>
          <w:szCs w:val="24"/>
        </w:rPr>
        <w:t>in Deutschland</w:t>
      </w:r>
      <w:r w:rsidR="00070C62" w:rsidRPr="00F149A0">
        <w:rPr>
          <w:i/>
          <w:sz w:val="24"/>
          <w:szCs w:val="24"/>
        </w:rPr>
        <w:t>;</w:t>
      </w:r>
      <w:r w:rsidR="00070C62">
        <w:rPr>
          <w:sz w:val="24"/>
          <w:szCs w:val="24"/>
        </w:rPr>
        <w:t xml:space="preserve"> </w:t>
      </w:r>
      <w:r w:rsidR="00244901">
        <w:rPr>
          <w:sz w:val="24"/>
          <w:szCs w:val="24"/>
        </w:rPr>
        <w:t xml:space="preserve">sie ist also als ein Werk der </w:t>
      </w:r>
      <w:r w:rsidR="00244901" w:rsidRPr="00244901">
        <w:rPr>
          <w:i/>
          <w:sz w:val="24"/>
          <w:szCs w:val="24"/>
        </w:rPr>
        <w:t>innerdeutschen</w:t>
      </w:r>
      <w:r w:rsidR="00244901">
        <w:rPr>
          <w:sz w:val="24"/>
          <w:szCs w:val="24"/>
        </w:rPr>
        <w:t xml:space="preserve"> Widerstandsliteratur zu verstehen. D</w:t>
      </w:r>
      <w:r w:rsidR="00070C62" w:rsidRPr="00244901">
        <w:rPr>
          <w:sz w:val="24"/>
          <w:szCs w:val="24"/>
        </w:rPr>
        <w:t>ie</w:t>
      </w:r>
      <w:r w:rsidR="00070C62">
        <w:rPr>
          <w:sz w:val="24"/>
          <w:szCs w:val="24"/>
        </w:rPr>
        <w:t xml:space="preserve"> </w:t>
      </w:r>
      <w:r w:rsidR="00F149A0">
        <w:rPr>
          <w:sz w:val="24"/>
          <w:szCs w:val="24"/>
        </w:rPr>
        <w:t>Übersetzung</w:t>
      </w:r>
      <w:r w:rsidR="00244901">
        <w:rPr>
          <w:sz w:val="24"/>
          <w:szCs w:val="24"/>
        </w:rPr>
        <w:t xml:space="preserve"> ins Englische </w:t>
      </w:r>
      <w:r w:rsidR="00244901">
        <w:rPr>
          <w:i/>
          <w:sz w:val="24"/>
          <w:szCs w:val="24"/>
        </w:rPr>
        <w:t xml:space="preserve">The Dual State </w:t>
      </w:r>
      <w:r w:rsidR="003D3744">
        <w:rPr>
          <w:sz w:val="24"/>
          <w:szCs w:val="24"/>
        </w:rPr>
        <w:t>wurde im Juni 1940 abgeschlossen</w:t>
      </w:r>
      <w:r w:rsidR="00244901">
        <w:rPr>
          <w:sz w:val="24"/>
          <w:szCs w:val="24"/>
        </w:rPr>
        <w:t>.</w:t>
      </w:r>
      <w:r w:rsidR="00F149A0">
        <w:rPr>
          <w:sz w:val="24"/>
          <w:szCs w:val="24"/>
        </w:rPr>
        <w:t xml:space="preserve"> </w:t>
      </w:r>
      <w:r w:rsidR="00244901">
        <w:rPr>
          <w:sz w:val="24"/>
          <w:szCs w:val="24"/>
        </w:rPr>
        <w:t>Sie</w:t>
      </w:r>
      <w:r w:rsidR="00F149A0">
        <w:rPr>
          <w:sz w:val="24"/>
          <w:szCs w:val="24"/>
        </w:rPr>
        <w:t xml:space="preserve"> erschien </w:t>
      </w:r>
      <w:r w:rsidR="00244901">
        <w:rPr>
          <w:sz w:val="24"/>
          <w:szCs w:val="24"/>
        </w:rPr>
        <w:t xml:space="preserve">zur Jahreswende </w:t>
      </w:r>
      <w:r w:rsidR="00F149A0">
        <w:rPr>
          <w:sz w:val="24"/>
          <w:szCs w:val="24"/>
        </w:rPr>
        <w:t>19</w:t>
      </w:r>
      <w:r w:rsidR="00244901">
        <w:rPr>
          <w:sz w:val="24"/>
          <w:szCs w:val="24"/>
        </w:rPr>
        <w:t>40/</w:t>
      </w:r>
      <w:r w:rsidR="00F149A0">
        <w:rPr>
          <w:sz w:val="24"/>
          <w:szCs w:val="24"/>
        </w:rPr>
        <w:t>41 i</w:t>
      </w:r>
      <w:r w:rsidR="00244901">
        <w:rPr>
          <w:sz w:val="24"/>
          <w:szCs w:val="24"/>
        </w:rPr>
        <w:t>m Verlag</w:t>
      </w:r>
      <w:r w:rsidR="00F149A0">
        <w:rPr>
          <w:sz w:val="24"/>
          <w:szCs w:val="24"/>
        </w:rPr>
        <w:t xml:space="preserve"> der Oxford University Press in New York</w:t>
      </w:r>
      <w:r w:rsidR="00244901">
        <w:rPr>
          <w:sz w:val="24"/>
          <w:szCs w:val="24"/>
        </w:rPr>
        <w:t>, di</w:t>
      </w:r>
      <w:r w:rsidR="003D3744">
        <w:rPr>
          <w:sz w:val="24"/>
          <w:szCs w:val="24"/>
        </w:rPr>
        <w:t>e deutsche Übersetzung erst Jahrz</w:t>
      </w:r>
      <w:r w:rsidR="001550CA">
        <w:rPr>
          <w:sz w:val="24"/>
          <w:szCs w:val="24"/>
        </w:rPr>
        <w:t>e</w:t>
      </w:r>
      <w:r w:rsidR="003D3744">
        <w:rPr>
          <w:sz w:val="24"/>
          <w:szCs w:val="24"/>
        </w:rPr>
        <w:t>hnte später: 1974.</w:t>
      </w:r>
      <w:r w:rsidR="001550CA">
        <w:rPr>
          <w:sz w:val="24"/>
          <w:szCs w:val="24"/>
        </w:rPr>
        <w:t xml:space="preserve"> </w:t>
      </w:r>
      <w:r w:rsidR="00244901">
        <w:rPr>
          <w:sz w:val="24"/>
          <w:szCs w:val="24"/>
        </w:rPr>
        <w:t>– I</w:t>
      </w:r>
      <w:r w:rsidR="00DD2424">
        <w:rPr>
          <w:sz w:val="24"/>
          <w:szCs w:val="24"/>
        </w:rPr>
        <w:t xml:space="preserve">m Vorwort der Ausgabe von 1974 </w:t>
      </w:r>
      <w:r w:rsidR="00F149A0">
        <w:rPr>
          <w:sz w:val="24"/>
          <w:szCs w:val="24"/>
        </w:rPr>
        <w:t>äußert sich</w:t>
      </w:r>
      <w:r w:rsidR="001550CA">
        <w:rPr>
          <w:sz w:val="24"/>
          <w:szCs w:val="24"/>
        </w:rPr>
        <w:t xml:space="preserve"> </w:t>
      </w:r>
      <w:r w:rsidR="003E04D8">
        <w:rPr>
          <w:sz w:val="24"/>
          <w:szCs w:val="24"/>
        </w:rPr>
        <w:t xml:space="preserve">Ernst </w:t>
      </w:r>
      <w:proofErr w:type="spellStart"/>
      <w:r w:rsidR="00244901">
        <w:rPr>
          <w:sz w:val="24"/>
          <w:szCs w:val="24"/>
        </w:rPr>
        <w:t>Fraenkel</w:t>
      </w:r>
      <w:proofErr w:type="spellEnd"/>
      <w:r w:rsidR="00244901">
        <w:rPr>
          <w:sz w:val="24"/>
          <w:szCs w:val="24"/>
        </w:rPr>
        <w:t xml:space="preserve"> </w:t>
      </w:r>
      <w:r w:rsidR="001550CA">
        <w:rPr>
          <w:sz w:val="24"/>
          <w:szCs w:val="24"/>
        </w:rPr>
        <w:t>über die Entstehung</w:t>
      </w:r>
      <w:r w:rsidR="00244901">
        <w:rPr>
          <w:sz w:val="24"/>
          <w:szCs w:val="24"/>
        </w:rPr>
        <w:t>sbedingungen seiner Untersuchung</w:t>
      </w:r>
      <w:r w:rsidR="00F149A0">
        <w:rPr>
          <w:sz w:val="24"/>
          <w:szCs w:val="24"/>
        </w:rPr>
        <w:t xml:space="preserve"> </w:t>
      </w:r>
      <w:r w:rsidR="00244901">
        <w:rPr>
          <w:sz w:val="24"/>
          <w:szCs w:val="24"/>
        </w:rPr>
        <w:t>sowie über</w:t>
      </w:r>
      <w:r w:rsidR="00F149A0">
        <w:rPr>
          <w:sz w:val="24"/>
          <w:szCs w:val="24"/>
        </w:rPr>
        <w:t xml:space="preserve"> seine damalige Lebenssituation</w:t>
      </w:r>
      <w:r w:rsidR="001550CA">
        <w:rPr>
          <w:sz w:val="24"/>
          <w:szCs w:val="24"/>
        </w:rPr>
        <w:t>:</w:t>
      </w:r>
    </w:p>
    <w:p w:rsidR="001550CA" w:rsidRDefault="001550CA" w:rsidP="003E3BE1">
      <w:pPr>
        <w:spacing w:after="0"/>
        <w:ind w:left="1134"/>
        <w:jc w:val="both"/>
        <w:rPr>
          <w:sz w:val="24"/>
          <w:szCs w:val="24"/>
        </w:rPr>
      </w:pPr>
      <w:r>
        <w:rPr>
          <w:sz w:val="24"/>
          <w:szCs w:val="24"/>
        </w:rPr>
        <w:t>„Das Buch ist ein Produkt der inneren Emigration. Seine erste Fassung, die auch dem vorliegenden Text der deutschen Ausgabe zugrunde liegt, ist in der Atm</w:t>
      </w:r>
      <w:r>
        <w:rPr>
          <w:sz w:val="24"/>
          <w:szCs w:val="24"/>
        </w:rPr>
        <w:t>o</w:t>
      </w:r>
      <w:r>
        <w:rPr>
          <w:sz w:val="24"/>
          <w:szCs w:val="24"/>
        </w:rPr>
        <w:t>sphäre der Rechtlosigkeit und des Terrors entstanden. Sie beruht auf Quellenmat</w:t>
      </w:r>
      <w:r>
        <w:rPr>
          <w:sz w:val="24"/>
          <w:szCs w:val="24"/>
        </w:rPr>
        <w:t>e</w:t>
      </w:r>
      <w:r>
        <w:rPr>
          <w:sz w:val="24"/>
          <w:szCs w:val="24"/>
        </w:rPr>
        <w:t>rial, das ich im nationalsozialistischen Berlin gesammelt habe und auf Eindr</w:t>
      </w:r>
      <w:r>
        <w:rPr>
          <w:sz w:val="24"/>
          <w:szCs w:val="24"/>
        </w:rPr>
        <w:t>ü</w:t>
      </w:r>
      <w:r>
        <w:rPr>
          <w:sz w:val="24"/>
          <w:szCs w:val="24"/>
        </w:rPr>
        <w:t>cken, die sich mir tagtäglich aufgedrängt haben. Es ist aus dem Bedürfnis entsta</w:t>
      </w:r>
      <w:r>
        <w:rPr>
          <w:sz w:val="24"/>
          <w:szCs w:val="24"/>
        </w:rPr>
        <w:t>n</w:t>
      </w:r>
      <w:r>
        <w:rPr>
          <w:sz w:val="24"/>
          <w:szCs w:val="24"/>
        </w:rPr>
        <w:t>den, diese Erlebnisse und Erfahrungen theoretisch zu erfassen, um mit ihnen i</w:t>
      </w:r>
      <w:r>
        <w:rPr>
          <w:sz w:val="24"/>
          <w:szCs w:val="24"/>
        </w:rPr>
        <w:t>n</w:t>
      </w:r>
      <w:r>
        <w:rPr>
          <w:sz w:val="24"/>
          <w:szCs w:val="24"/>
        </w:rPr>
        <w:t>nerlich fertig zu werden. Sie gehen weitgehend, wen</w:t>
      </w:r>
      <w:r w:rsidR="00070C62">
        <w:rPr>
          <w:sz w:val="24"/>
          <w:szCs w:val="24"/>
        </w:rPr>
        <w:t>n</w:t>
      </w:r>
      <w:r>
        <w:rPr>
          <w:sz w:val="24"/>
          <w:szCs w:val="24"/>
        </w:rPr>
        <w:t xml:space="preserve"> auch nicht ausschließlich, auf die Anwaltstätigkeit zurück, die ich in Berlin in den Jahren 1933-1938 ausg</w:t>
      </w:r>
      <w:r>
        <w:rPr>
          <w:sz w:val="24"/>
          <w:szCs w:val="24"/>
        </w:rPr>
        <w:t>e</w:t>
      </w:r>
      <w:r>
        <w:rPr>
          <w:sz w:val="24"/>
          <w:szCs w:val="24"/>
        </w:rPr>
        <w:t>übt habe.“</w:t>
      </w:r>
      <w:r w:rsidR="00BC15BF">
        <w:rPr>
          <w:rStyle w:val="Funotenzeichen"/>
          <w:sz w:val="24"/>
          <w:szCs w:val="24"/>
        </w:rPr>
        <w:footnoteReference w:id="5"/>
      </w:r>
    </w:p>
    <w:p w:rsidR="003D3744" w:rsidRDefault="00244901" w:rsidP="003E3BE1">
      <w:pPr>
        <w:spacing w:after="0"/>
        <w:jc w:val="both"/>
        <w:rPr>
          <w:sz w:val="24"/>
          <w:szCs w:val="24"/>
        </w:rPr>
      </w:pPr>
      <w:proofErr w:type="spellStart"/>
      <w:r>
        <w:rPr>
          <w:sz w:val="24"/>
          <w:szCs w:val="24"/>
        </w:rPr>
        <w:t>Fraenkel</w:t>
      </w:r>
      <w:proofErr w:type="spellEnd"/>
      <w:r>
        <w:rPr>
          <w:sz w:val="24"/>
          <w:szCs w:val="24"/>
        </w:rPr>
        <w:t xml:space="preserve"> war jüdischer Abstammung. D</w:t>
      </w:r>
      <w:r w:rsidR="00BC15BF">
        <w:rPr>
          <w:sz w:val="24"/>
          <w:szCs w:val="24"/>
        </w:rPr>
        <w:t xml:space="preserve">ie Anwaltstätigkeit </w:t>
      </w:r>
      <w:r>
        <w:rPr>
          <w:sz w:val="24"/>
          <w:szCs w:val="24"/>
        </w:rPr>
        <w:t xml:space="preserve">wurde ihm </w:t>
      </w:r>
      <w:r w:rsidR="00BC15BF">
        <w:rPr>
          <w:sz w:val="24"/>
          <w:szCs w:val="24"/>
        </w:rPr>
        <w:t>durch den „Fron</w:t>
      </w:r>
      <w:r w:rsidR="00BC15BF">
        <w:rPr>
          <w:sz w:val="24"/>
          <w:szCs w:val="24"/>
        </w:rPr>
        <w:t>t</w:t>
      </w:r>
      <w:r w:rsidR="00BC15BF">
        <w:rPr>
          <w:sz w:val="24"/>
          <w:szCs w:val="24"/>
        </w:rPr>
        <w:t>kämpferparagrafen“</w:t>
      </w:r>
      <w:r w:rsidR="00BC15BF">
        <w:rPr>
          <w:rStyle w:val="Funotenzeichen"/>
          <w:sz w:val="24"/>
          <w:szCs w:val="24"/>
        </w:rPr>
        <w:footnoteReference w:id="6"/>
      </w:r>
      <w:r w:rsidR="00BC15BF">
        <w:rPr>
          <w:sz w:val="24"/>
          <w:szCs w:val="24"/>
        </w:rPr>
        <w:t xml:space="preserve"> des „Gesetzes zur Wiederherstellung des Berufsbeamtentums“</w:t>
      </w:r>
      <w:r w:rsidRPr="00244901">
        <w:rPr>
          <w:sz w:val="24"/>
          <w:szCs w:val="24"/>
        </w:rPr>
        <w:t xml:space="preserve"> </w:t>
      </w:r>
      <w:r>
        <w:rPr>
          <w:sz w:val="24"/>
          <w:szCs w:val="24"/>
        </w:rPr>
        <w:t>ermö</w:t>
      </w:r>
      <w:r>
        <w:rPr>
          <w:sz w:val="24"/>
          <w:szCs w:val="24"/>
        </w:rPr>
        <w:t>g</w:t>
      </w:r>
      <w:r>
        <w:rPr>
          <w:sz w:val="24"/>
          <w:szCs w:val="24"/>
        </w:rPr>
        <w:t>licht:</w:t>
      </w:r>
    </w:p>
    <w:p w:rsidR="00BC15BF" w:rsidRDefault="00BC15BF" w:rsidP="003E3BE1">
      <w:pPr>
        <w:spacing w:after="0"/>
        <w:ind w:left="1134"/>
        <w:jc w:val="both"/>
        <w:rPr>
          <w:sz w:val="24"/>
          <w:szCs w:val="24"/>
        </w:rPr>
      </w:pPr>
      <w:r>
        <w:rPr>
          <w:sz w:val="24"/>
          <w:szCs w:val="24"/>
        </w:rPr>
        <w:t>„Obwohl Jude, war ich wegen Teilnahme am Krieg auch nach 1933 zur Anwal</w:t>
      </w:r>
      <w:r>
        <w:rPr>
          <w:sz w:val="24"/>
          <w:szCs w:val="24"/>
        </w:rPr>
        <w:t>t</w:t>
      </w:r>
      <w:r>
        <w:rPr>
          <w:sz w:val="24"/>
          <w:szCs w:val="24"/>
        </w:rPr>
        <w:t>schaft zugelassen. Die Zwiespältigkeit meiner bürgerlichen Existenz machte mich für die Widersprüchlichkeit des Hitlerregimes besonders hellhörig. Dem Gesetze nach gleichberechtigtes Mitglied der Anwaltschaft war ich dennoch auf Schritt und Tritt Schikanen, Diskriminierungen und Demütigungen ausgesetzt, die au</w:t>
      </w:r>
      <w:r>
        <w:rPr>
          <w:sz w:val="24"/>
          <w:szCs w:val="24"/>
        </w:rPr>
        <w:t>s</w:t>
      </w:r>
      <w:r>
        <w:rPr>
          <w:sz w:val="24"/>
          <w:szCs w:val="24"/>
        </w:rPr>
        <w:t xml:space="preserve">nahmslos von der ‚staatstragenden Partei‘ ausgingen. Wer nicht die Augen vor der Realität der Verwaltungs- und Justizpraxis der Hitlerdiktatur </w:t>
      </w:r>
      <w:proofErr w:type="spellStart"/>
      <w:r>
        <w:rPr>
          <w:sz w:val="24"/>
          <w:szCs w:val="24"/>
        </w:rPr>
        <w:t>verschloß</w:t>
      </w:r>
      <w:proofErr w:type="spellEnd"/>
      <w:r>
        <w:rPr>
          <w:sz w:val="24"/>
          <w:szCs w:val="24"/>
        </w:rPr>
        <w:t xml:space="preserve">, </w:t>
      </w:r>
      <w:proofErr w:type="spellStart"/>
      <w:r>
        <w:rPr>
          <w:sz w:val="24"/>
          <w:szCs w:val="24"/>
        </w:rPr>
        <w:t>mußte</w:t>
      </w:r>
      <w:proofErr w:type="spellEnd"/>
      <w:r>
        <w:rPr>
          <w:sz w:val="24"/>
          <w:szCs w:val="24"/>
        </w:rPr>
        <w:t xml:space="preserve"> von dem frivolen Zynismus betroffen sein, mit dem Staat und Partei für weite L</w:t>
      </w:r>
      <w:r>
        <w:rPr>
          <w:sz w:val="24"/>
          <w:szCs w:val="24"/>
        </w:rPr>
        <w:t>e</w:t>
      </w:r>
      <w:r>
        <w:rPr>
          <w:sz w:val="24"/>
          <w:szCs w:val="24"/>
        </w:rPr>
        <w:t>bensbereiche die Geltung der Rechtsordnung in Frage stellten und gleichzeitig mit bürokratischer Exaktheit in anders bewerteten Situationen die gleiche Rechtsvo</w:t>
      </w:r>
      <w:r>
        <w:rPr>
          <w:sz w:val="24"/>
          <w:szCs w:val="24"/>
        </w:rPr>
        <w:t>r</w:t>
      </w:r>
      <w:r>
        <w:rPr>
          <w:sz w:val="24"/>
          <w:szCs w:val="24"/>
        </w:rPr>
        <w:t>schrift angewandt haben.“</w:t>
      </w:r>
      <w:r>
        <w:rPr>
          <w:rStyle w:val="Funotenzeichen"/>
          <w:sz w:val="24"/>
          <w:szCs w:val="24"/>
        </w:rPr>
        <w:footnoteReference w:id="7"/>
      </w:r>
      <w:r>
        <w:rPr>
          <w:sz w:val="24"/>
          <w:szCs w:val="24"/>
        </w:rPr>
        <w:t xml:space="preserve"> </w:t>
      </w:r>
    </w:p>
    <w:p w:rsidR="00BC15BF" w:rsidRDefault="00BC15BF" w:rsidP="003E3BE1">
      <w:pPr>
        <w:spacing w:after="0"/>
        <w:jc w:val="both"/>
        <w:rPr>
          <w:sz w:val="24"/>
          <w:szCs w:val="24"/>
        </w:rPr>
      </w:pPr>
      <w:r>
        <w:rPr>
          <w:sz w:val="24"/>
          <w:szCs w:val="24"/>
        </w:rPr>
        <w:lastRenderedPageBreak/>
        <w:t>Dieser Zwiespalt: die Tatsache, dass „Staat und Partei für weite Lebensbereiche die Geltung der Rechtsordnung in Frage stellten“, jedoch „in anders bewerteten Situationen“ „mit bür</w:t>
      </w:r>
      <w:r>
        <w:rPr>
          <w:sz w:val="24"/>
          <w:szCs w:val="24"/>
        </w:rPr>
        <w:t>o</w:t>
      </w:r>
      <w:r>
        <w:rPr>
          <w:sz w:val="24"/>
          <w:szCs w:val="24"/>
        </w:rPr>
        <w:t>kratischer Exaktheit […] die gleiche Rechtsvorschrift angewandt haben“</w:t>
      </w:r>
      <w:r w:rsidR="004700D0">
        <w:rPr>
          <w:sz w:val="24"/>
          <w:szCs w:val="24"/>
        </w:rPr>
        <w:t xml:space="preserve"> – </w:t>
      </w:r>
      <w:r w:rsidRPr="004700D0">
        <w:rPr>
          <w:sz w:val="24"/>
          <w:szCs w:val="24"/>
        </w:rPr>
        <w:t xml:space="preserve">die Rechtsordnung </w:t>
      </w:r>
      <w:r w:rsidR="004700D0" w:rsidRPr="004700D0">
        <w:rPr>
          <w:sz w:val="24"/>
          <w:szCs w:val="24"/>
        </w:rPr>
        <w:t>innerhalb des sich allmählich entwickelnden totalitären Staates</w:t>
      </w:r>
      <w:r w:rsidR="004700D0">
        <w:rPr>
          <w:i/>
          <w:sz w:val="24"/>
          <w:szCs w:val="24"/>
        </w:rPr>
        <w:t xml:space="preserve"> </w:t>
      </w:r>
      <w:r w:rsidR="004700D0" w:rsidRPr="004700D0">
        <w:rPr>
          <w:sz w:val="24"/>
          <w:szCs w:val="24"/>
        </w:rPr>
        <w:t>also</w:t>
      </w:r>
      <w:r w:rsidR="004700D0">
        <w:rPr>
          <w:sz w:val="24"/>
          <w:szCs w:val="24"/>
        </w:rPr>
        <w:t xml:space="preserve"> in Teilen</w:t>
      </w:r>
      <w:r w:rsidR="004700D0" w:rsidRPr="004700D0">
        <w:rPr>
          <w:i/>
          <w:sz w:val="24"/>
          <w:szCs w:val="24"/>
        </w:rPr>
        <w:t xml:space="preserve"> </w:t>
      </w:r>
      <w:r w:rsidRPr="004700D0">
        <w:rPr>
          <w:i/>
          <w:sz w:val="24"/>
          <w:szCs w:val="24"/>
        </w:rPr>
        <w:t xml:space="preserve">durchaus </w:t>
      </w:r>
      <w:r w:rsidR="004700D0">
        <w:rPr>
          <w:i/>
          <w:sz w:val="24"/>
          <w:szCs w:val="24"/>
        </w:rPr>
        <w:t>noch Bestand hatte</w:t>
      </w:r>
      <w:r w:rsidR="004700D0" w:rsidRPr="004700D0">
        <w:rPr>
          <w:i/>
          <w:sz w:val="24"/>
          <w:szCs w:val="24"/>
        </w:rPr>
        <w:t xml:space="preserve"> </w:t>
      </w:r>
      <w:r w:rsidR="004700D0">
        <w:rPr>
          <w:sz w:val="24"/>
          <w:szCs w:val="24"/>
        </w:rPr>
        <w:t>–</w:t>
      </w:r>
      <w:r>
        <w:rPr>
          <w:sz w:val="24"/>
          <w:szCs w:val="24"/>
        </w:rPr>
        <w:t xml:space="preserve">, bildet die Grundlage von </w:t>
      </w:r>
      <w:r>
        <w:rPr>
          <w:i/>
          <w:sz w:val="24"/>
          <w:szCs w:val="24"/>
        </w:rPr>
        <w:t>Der Doppelstaat.</w:t>
      </w:r>
      <w:r>
        <w:rPr>
          <w:sz w:val="24"/>
          <w:szCs w:val="24"/>
        </w:rPr>
        <w:t xml:space="preserve"> </w:t>
      </w:r>
      <w:r w:rsidR="004700D0">
        <w:rPr>
          <w:sz w:val="24"/>
          <w:szCs w:val="24"/>
        </w:rPr>
        <w:t>Die Studie ermöglicht also Ei</w:t>
      </w:r>
      <w:r w:rsidR="004700D0">
        <w:rPr>
          <w:sz w:val="24"/>
          <w:szCs w:val="24"/>
        </w:rPr>
        <w:t>n</w:t>
      </w:r>
      <w:r w:rsidR="004700D0">
        <w:rPr>
          <w:sz w:val="24"/>
          <w:szCs w:val="24"/>
        </w:rPr>
        <w:t>sicht in die Vielschichtigkeit der Entwicklung, die die Anfangsphase der nationalsozialist</w:t>
      </w:r>
      <w:r w:rsidR="004700D0">
        <w:rPr>
          <w:sz w:val="24"/>
          <w:szCs w:val="24"/>
        </w:rPr>
        <w:t>i</w:t>
      </w:r>
      <w:r w:rsidR="004700D0">
        <w:rPr>
          <w:sz w:val="24"/>
          <w:szCs w:val="24"/>
        </w:rPr>
        <w:t>schen Diktatur kennzeichnet. Sie macht deshalb auch begreiflich, weshalb Teile der jüdischen Bevölkerungsgruppe nur zögerlich reagierten, also das Ausmaß der ihnen drohenden Gefahr verkannten.</w:t>
      </w:r>
    </w:p>
    <w:p w:rsidR="004700D0" w:rsidRDefault="004700D0" w:rsidP="003E3BE1">
      <w:pPr>
        <w:spacing w:after="0"/>
        <w:jc w:val="both"/>
        <w:rPr>
          <w:sz w:val="24"/>
          <w:szCs w:val="24"/>
        </w:rPr>
      </w:pPr>
    </w:p>
    <w:p w:rsidR="008A715E" w:rsidRDefault="00070C62" w:rsidP="003E3BE1">
      <w:pPr>
        <w:spacing w:after="0"/>
        <w:jc w:val="both"/>
        <w:rPr>
          <w:sz w:val="24"/>
          <w:szCs w:val="24"/>
        </w:rPr>
      </w:pPr>
      <w:r>
        <w:rPr>
          <w:sz w:val="24"/>
          <w:szCs w:val="24"/>
        </w:rPr>
        <w:tab/>
        <w:t xml:space="preserve">Der Ausgangspunkt </w:t>
      </w:r>
      <w:r w:rsidR="006D0285">
        <w:rPr>
          <w:sz w:val="24"/>
          <w:szCs w:val="24"/>
        </w:rPr>
        <w:t>der</w:t>
      </w:r>
      <w:r>
        <w:rPr>
          <w:sz w:val="24"/>
          <w:szCs w:val="24"/>
        </w:rPr>
        <w:t xml:space="preserve"> Analyse ist der „zivile Ausnahmezustand“</w:t>
      </w:r>
      <w:r w:rsidR="006D0285">
        <w:rPr>
          <w:sz w:val="24"/>
          <w:szCs w:val="24"/>
        </w:rPr>
        <w:t xml:space="preserve"> – m</w:t>
      </w:r>
      <w:r w:rsidR="00F149A0">
        <w:rPr>
          <w:sz w:val="24"/>
          <w:szCs w:val="24"/>
        </w:rPr>
        <w:t>it diesem B</w:t>
      </w:r>
      <w:r w:rsidR="00F149A0">
        <w:rPr>
          <w:sz w:val="24"/>
          <w:szCs w:val="24"/>
        </w:rPr>
        <w:t>e</w:t>
      </w:r>
      <w:r w:rsidR="00F149A0">
        <w:rPr>
          <w:sz w:val="24"/>
          <w:szCs w:val="24"/>
        </w:rPr>
        <w:t xml:space="preserve">griff charakterisiert </w:t>
      </w:r>
      <w:proofErr w:type="spellStart"/>
      <w:r w:rsidR="00F149A0">
        <w:rPr>
          <w:sz w:val="24"/>
          <w:szCs w:val="24"/>
        </w:rPr>
        <w:t>Fraenkel</w:t>
      </w:r>
      <w:proofErr w:type="spellEnd"/>
      <w:r w:rsidR="00F149A0">
        <w:rPr>
          <w:sz w:val="24"/>
          <w:szCs w:val="24"/>
        </w:rPr>
        <w:t xml:space="preserve"> die Regierungspraxis des Dritten Reiches</w:t>
      </w:r>
      <w:r w:rsidR="004700D0">
        <w:rPr>
          <w:sz w:val="24"/>
          <w:szCs w:val="24"/>
        </w:rPr>
        <w:t>. Die</w:t>
      </w:r>
      <w:r>
        <w:rPr>
          <w:sz w:val="24"/>
          <w:szCs w:val="24"/>
        </w:rPr>
        <w:t xml:space="preserve"> rechtliche Grun</w:t>
      </w:r>
      <w:r>
        <w:rPr>
          <w:sz w:val="24"/>
          <w:szCs w:val="24"/>
        </w:rPr>
        <w:t>d</w:t>
      </w:r>
      <w:r>
        <w:rPr>
          <w:sz w:val="24"/>
          <w:szCs w:val="24"/>
        </w:rPr>
        <w:t>lage</w:t>
      </w:r>
      <w:r w:rsidR="004700D0">
        <w:rPr>
          <w:sz w:val="24"/>
          <w:szCs w:val="24"/>
        </w:rPr>
        <w:t xml:space="preserve"> </w:t>
      </w:r>
      <w:r w:rsidR="00076C25">
        <w:rPr>
          <w:sz w:val="24"/>
          <w:szCs w:val="24"/>
        </w:rPr>
        <w:t>des zivilen Ausnahmezustandes ist</w:t>
      </w:r>
      <w:r>
        <w:rPr>
          <w:sz w:val="24"/>
          <w:szCs w:val="24"/>
        </w:rPr>
        <w:t xml:space="preserve"> die Notverordnung „zum Schutz von Volk und Staat“ vom 28. Februar 1933, </w:t>
      </w:r>
      <w:r w:rsidR="00076C25">
        <w:rPr>
          <w:sz w:val="24"/>
          <w:szCs w:val="24"/>
        </w:rPr>
        <w:t xml:space="preserve">also </w:t>
      </w:r>
      <w:r>
        <w:rPr>
          <w:sz w:val="24"/>
          <w:szCs w:val="24"/>
        </w:rPr>
        <w:t xml:space="preserve">die </w:t>
      </w:r>
      <w:r w:rsidR="004700D0">
        <w:rPr>
          <w:sz w:val="24"/>
          <w:szCs w:val="24"/>
        </w:rPr>
        <w:t xml:space="preserve">im Zusammenhang des </w:t>
      </w:r>
      <w:r>
        <w:rPr>
          <w:sz w:val="24"/>
          <w:szCs w:val="24"/>
        </w:rPr>
        <w:t>Reichstagsbrand</w:t>
      </w:r>
      <w:r w:rsidR="004700D0">
        <w:rPr>
          <w:sz w:val="24"/>
          <w:szCs w:val="24"/>
        </w:rPr>
        <w:t>es erlassene Notv</w:t>
      </w:r>
      <w:r>
        <w:rPr>
          <w:sz w:val="24"/>
          <w:szCs w:val="24"/>
        </w:rPr>
        <w:t>e</w:t>
      </w:r>
      <w:r>
        <w:rPr>
          <w:sz w:val="24"/>
          <w:szCs w:val="24"/>
        </w:rPr>
        <w:t>r</w:t>
      </w:r>
      <w:r>
        <w:rPr>
          <w:sz w:val="24"/>
          <w:szCs w:val="24"/>
        </w:rPr>
        <w:t xml:space="preserve">ordnung. </w:t>
      </w:r>
      <w:r w:rsidR="00076C25">
        <w:rPr>
          <w:sz w:val="24"/>
          <w:szCs w:val="24"/>
        </w:rPr>
        <w:t>Sie blieb bis zum Ende des Dritten Reiches in Kraft und begründete ein Regime des permanenten Ausnahmezustandes.</w:t>
      </w:r>
      <w:r w:rsidR="00076C25">
        <w:rPr>
          <w:rStyle w:val="Funotenzeichen"/>
          <w:sz w:val="24"/>
          <w:szCs w:val="24"/>
        </w:rPr>
        <w:footnoteReference w:id="8"/>
      </w:r>
      <w:r w:rsidR="00076C25">
        <w:rPr>
          <w:sz w:val="24"/>
          <w:szCs w:val="24"/>
        </w:rPr>
        <w:t xml:space="preserve"> </w:t>
      </w:r>
    </w:p>
    <w:p w:rsidR="006D0285" w:rsidRPr="006D0285" w:rsidRDefault="00076C25" w:rsidP="003E3BE1">
      <w:pPr>
        <w:spacing w:after="0"/>
        <w:ind w:firstLine="708"/>
        <w:jc w:val="both"/>
        <w:rPr>
          <w:sz w:val="24"/>
          <w:szCs w:val="24"/>
        </w:rPr>
      </w:pPr>
      <w:proofErr w:type="spellStart"/>
      <w:r>
        <w:rPr>
          <w:sz w:val="24"/>
          <w:szCs w:val="24"/>
        </w:rPr>
        <w:t>Fraenkel</w:t>
      </w:r>
      <w:proofErr w:type="spellEnd"/>
      <w:r>
        <w:rPr>
          <w:sz w:val="24"/>
          <w:szCs w:val="24"/>
        </w:rPr>
        <w:t xml:space="preserve"> </w:t>
      </w:r>
      <w:r w:rsidR="00070C62">
        <w:rPr>
          <w:sz w:val="24"/>
          <w:szCs w:val="24"/>
        </w:rPr>
        <w:t xml:space="preserve">richtet den Blick </w:t>
      </w:r>
      <w:r>
        <w:rPr>
          <w:sz w:val="24"/>
          <w:szCs w:val="24"/>
        </w:rPr>
        <w:t>also</w:t>
      </w:r>
      <w:r w:rsidR="006D0285">
        <w:rPr>
          <w:sz w:val="24"/>
          <w:szCs w:val="24"/>
        </w:rPr>
        <w:t xml:space="preserve"> </w:t>
      </w:r>
      <w:r w:rsidR="00070C62" w:rsidRPr="004700D0">
        <w:rPr>
          <w:i/>
          <w:sz w:val="24"/>
          <w:szCs w:val="24"/>
        </w:rPr>
        <w:t>nicht</w:t>
      </w:r>
      <w:r w:rsidR="00B82BD5">
        <w:rPr>
          <w:sz w:val="24"/>
          <w:szCs w:val="24"/>
        </w:rPr>
        <w:t xml:space="preserve"> auf die verhängnisvolle Tradition der Präsidia</w:t>
      </w:r>
      <w:r w:rsidR="00B82BD5">
        <w:rPr>
          <w:sz w:val="24"/>
          <w:szCs w:val="24"/>
        </w:rPr>
        <w:t>l</w:t>
      </w:r>
      <w:r w:rsidR="00B82BD5">
        <w:rPr>
          <w:sz w:val="24"/>
          <w:szCs w:val="24"/>
        </w:rPr>
        <w:t xml:space="preserve">kabinette, auf die </w:t>
      </w:r>
      <w:r w:rsidR="006D0285">
        <w:rPr>
          <w:sz w:val="24"/>
          <w:szCs w:val="24"/>
        </w:rPr>
        <w:t xml:space="preserve">Umstände, die zu Hitlers </w:t>
      </w:r>
      <w:r w:rsidR="00B82BD5">
        <w:rPr>
          <w:sz w:val="24"/>
          <w:szCs w:val="24"/>
        </w:rPr>
        <w:t xml:space="preserve">Ernennung </w:t>
      </w:r>
      <w:r w:rsidR="006D0285">
        <w:rPr>
          <w:sz w:val="24"/>
          <w:szCs w:val="24"/>
        </w:rPr>
        <w:t>führten,</w:t>
      </w:r>
      <w:r w:rsidR="00B82BD5">
        <w:rPr>
          <w:sz w:val="24"/>
          <w:szCs w:val="24"/>
        </w:rPr>
        <w:t xml:space="preserve"> den mit dieser Ernennung ei</w:t>
      </w:r>
      <w:r w:rsidR="00B82BD5">
        <w:rPr>
          <w:sz w:val="24"/>
          <w:szCs w:val="24"/>
        </w:rPr>
        <w:t>n</w:t>
      </w:r>
      <w:r w:rsidR="00B82BD5">
        <w:rPr>
          <w:sz w:val="24"/>
          <w:szCs w:val="24"/>
        </w:rPr>
        <w:t>setzenden Terror, auch nicht auf das Ermächtigungsgesetz,</w:t>
      </w:r>
      <w:r w:rsidR="00651BB0">
        <w:rPr>
          <w:sz w:val="24"/>
          <w:szCs w:val="24"/>
        </w:rPr>
        <w:t xml:space="preserve"> ohne </w:t>
      </w:r>
      <w:proofErr w:type="spellStart"/>
      <w:r w:rsidR="006D0285">
        <w:rPr>
          <w:sz w:val="24"/>
          <w:szCs w:val="24"/>
        </w:rPr>
        <w:t>Fraenkel</w:t>
      </w:r>
      <w:proofErr w:type="spellEnd"/>
      <w:r w:rsidR="006D0285">
        <w:rPr>
          <w:sz w:val="24"/>
          <w:szCs w:val="24"/>
        </w:rPr>
        <w:t xml:space="preserve"> </w:t>
      </w:r>
      <w:r w:rsidR="00651BB0">
        <w:rPr>
          <w:sz w:val="24"/>
          <w:szCs w:val="24"/>
        </w:rPr>
        <w:t>damit d</w:t>
      </w:r>
      <w:r>
        <w:rPr>
          <w:sz w:val="24"/>
          <w:szCs w:val="24"/>
        </w:rPr>
        <w:t>ie</w:t>
      </w:r>
      <w:r w:rsidR="00651BB0">
        <w:rPr>
          <w:sz w:val="24"/>
          <w:szCs w:val="24"/>
        </w:rPr>
        <w:t xml:space="preserve"> Bede</w:t>
      </w:r>
      <w:r w:rsidR="00651BB0">
        <w:rPr>
          <w:sz w:val="24"/>
          <w:szCs w:val="24"/>
        </w:rPr>
        <w:t>u</w:t>
      </w:r>
      <w:r w:rsidR="00651BB0">
        <w:rPr>
          <w:sz w:val="24"/>
          <w:szCs w:val="24"/>
        </w:rPr>
        <w:t>tung</w:t>
      </w:r>
      <w:r w:rsidR="00B82BD5">
        <w:rPr>
          <w:sz w:val="24"/>
          <w:szCs w:val="24"/>
        </w:rPr>
        <w:t xml:space="preserve"> </w:t>
      </w:r>
      <w:r>
        <w:rPr>
          <w:sz w:val="24"/>
          <w:szCs w:val="24"/>
        </w:rPr>
        <w:t xml:space="preserve">dieser Faktoren </w:t>
      </w:r>
      <w:r w:rsidR="00651BB0">
        <w:rPr>
          <w:sz w:val="24"/>
          <w:szCs w:val="24"/>
        </w:rPr>
        <w:t>in Frage stell</w:t>
      </w:r>
      <w:r w:rsidR="006D0285">
        <w:rPr>
          <w:sz w:val="24"/>
          <w:szCs w:val="24"/>
        </w:rPr>
        <w:t>t</w:t>
      </w:r>
      <w:r w:rsidR="00651BB0">
        <w:rPr>
          <w:sz w:val="24"/>
          <w:szCs w:val="24"/>
        </w:rPr>
        <w:t xml:space="preserve">, </w:t>
      </w:r>
      <w:r w:rsidR="00B82BD5">
        <w:rPr>
          <w:sz w:val="24"/>
          <w:szCs w:val="24"/>
        </w:rPr>
        <w:t xml:space="preserve">sondern auf den </w:t>
      </w:r>
      <w:r w:rsidR="006D0285">
        <w:rPr>
          <w:sz w:val="24"/>
          <w:szCs w:val="24"/>
        </w:rPr>
        <w:t xml:space="preserve">speziellen </w:t>
      </w:r>
      <w:r w:rsidR="00B82BD5">
        <w:rPr>
          <w:sz w:val="24"/>
          <w:szCs w:val="24"/>
        </w:rPr>
        <w:t>Handlungs- und Gestaltung</w:t>
      </w:r>
      <w:r w:rsidR="00B82BD5">
        <w:rPr>
          <w:sz w:val="24"/>
          <w:szCs w:val="24"/>
        </w:rPr>
        <w:t>s</w:t>
      </w:r>
      <w:r w:rsidR="00B82BD5">
        <w:rPr>
          <w:sz w:val="24"/>
          <w:szCs w:val="24"/>
        </w:rPr>
        <w:t>freiraum, der der Regierung seitens des Reichspräsidenten durch die Reichstagsbrandveror</w:t>
      </w:r>
      <w:r w:rsidR="00B82BD5">
        <w:rPr>
          <w:sz w:val="24"/>
          <w:szCs w:val="24"/>
        </w:rPr>
        <w:t>d</w:t>
      </w:r>
      <w:r w:rsidR="00B82BD5">
        <w:rPr>
          <w:sz w:val="24"/>
          <w:szCs w:val="24"/>
        </w:rPr>
        <w:t xml:space="preserve">nung in die Hände gegeben wurde. </w:t>
      </w:r>
      <w:r>
        <w:rPr>
          <w:sz w:val="24"/>
          <w:szCs w:val="24"/>
        </w:rPr>
        <w:t>Die Ermächtigung, im Rahmen des Ausnahmezustandes zu handeln, war nicht an die Wehrmacht ergangen, sondern an die Regierung</w:t>
      </w:r>
      <w:r w:rsidR="008A715E">
        <w:rPr>
          <w:sz w:val="24"/>
          <w:szCs w:val="24"/>
        </w:rPr>
        <w:t>;</w:t>
      </w:r>
      <w:r>
        <w:rPr>
          <w:sz w:val="24"/>
          <w:szCs w:val="24"/>
        </w:rPr>
        <w:t xml:space="preserve"> sie war zeitlich nicht befristet worden</w:t>
      </w:r>
      <w:r w:rsidR="008A715E">
        <w:rPr>
          <w:sz w:val="24"/>
          <w:szCs w:val="24"/>
        </w:rPr>
        <w:t xml:space="preserve"> und der damit geschaffene </w:t>
      </w:r>
      <w:r w:rsidR="006D0285" w:rsidRPr="008A715E">
        <w:rPr>
          <w:sz w:val="24"/>
          <w:szCs w:val="24"/>
        </w:rPr>
        <w:t xml:space="preserve">Gestaltungsfreiraum </w:t>
      </w:r>
      <w:r w:rsidR="008A715E">
        <w:rPr>
          <w:sz w:val="24"/>
          <w:szCs w:val="24"/>
        </w:rPr>
        <w:t xml:space="preserve">der Regierung </w:t>
      </w:r>
      <w:r w:rsidR="006D0285" w:rsidRPr="008A715E">
        <w:rPr>
          <w:sz w:val="24"/>
          <w:szCs w:val="24"/>
        </w:rPr>
        <w:t xml:space="preserve">unterlag </w:t>
      </w:r>
      <w:r w:rsidR="006D0285" w:rsidRPr="008A715E">
        <w:rPr>
          <w:i/>
          <w:sz w:val="24"/>
          <w:szCs w:val="24"/>
        </w:rPr>
        <w:t>keiner richterlichen Überprüfung</w:t>
      </w:r>
      <w:r w:rsidR="006D0285" w:rsidRPr="006D0285">
        <w:rPr>
          <w:i/>
          <w:sz w:val="24"/>
          <w:szCs w:val="24"/>
        </w:rPr>
        <w:t>.</w:t>
      </w:r>
      <w:r w:rsidR="006D0285">
        <w:rPr>
          <w:sz w:val="24"/>
          <w:szCs w:val="24"/>
        </w:rPr>
        <w:t xml:space="preserve"> </w:t>
      </w:r>
      <w:r w:rsidR="008A715E">
        <w:rPr>
          <w:sz w:val="24"/>
          <w:szCs w:val="24"/>
        </w:rPr>
        <w:t>– D</w:t>
      </w:r>
      <w:r w:rsidR="006D0285">
        <w:rPr>
          <w:sz w:val="24"/>
          <w:szCs w:val="24"/>
        </w:rPr>
        <w:t xml:space="preserve">ie Folge war, dass sich auf diese Weise </w:t>
      </w:r>
      <w:r w:rsidR="006D0285" w:rsidRPr="008A715E">
        <w:rPr>
          <w:i/>
          <w:sz w:val="24"/>
          <w:szCs w:val="24"/>
        </w:rPr>
        <w:t>zwei unte</w:t>
      </w:r>
      <w:r w:rsidR="006D0285" w:rsidRPr="008A715E">
        <w:rPr>
          <w:i/>
          <w:sz w:val="24"/>
          <w:szCs w:val="24"/>
        </w:rPr>
        <w:t>r</w:t>
      </w:r>
      <w:r w:rsidR="006D0285" w:rsidRPr="008A715E">
        <w:rPr>
          <w:i/>
          <w:sz w:val="24"/>
          <w:szCs w:val="24"/>
        </w:rPr>
        <w:t>schiedliche Rechtssysteme</w:t>
      </w:r>
      <w:r w:rsidR="006D0285">
        <w:rPr>
          <w:sz w:val="24"/>
          <w:szCs w:val="24"/>
        </w:rPr>
        <w:t xml:space="preserve">: der „Maßnahmenstaat“ und der „Normenstaat“, </w:t>
      </w:r>
      <w:r w:rsidR="00C17E75">
        <w:rPr>
          <w:sz w:val="24"/>
          <w:szCs w:val="24"/>
        </w:rPr>
        <w:t>in der Begrifflic</w:t>
      </w:r>
      <w:r w:rsidR="00C17E75">
        <w:rPr>
          <w:sz w:val="24"/>
          <w:szCs w:val="24"/>
        </w:rPr>
        <w:t>h</w:t>
      </w:r>
      <w:r w:rsidR="00C17E75">
        <w:rPr>
          <w:sz w:val="24"/>
          <w:szCs w:val="24"/>
        </w:rPr>
        <w:t xml:space="preserve">keit </w:t>
      </w:r>
      <w:proofErr w:type="spellStart"/>
      <w:r w:rsidR="00C17E75">
        <w:rPr>
          <w:sz w:val="24"/>
          <w:szCs w:val="24"/>
        </w:rPr>
        <w:t>Fraenkels</w:t>
      </w:r>
      <w:proofErr w:type="spellEnd"/>
      <w:r w:rsidR="00C17E75">
        <w:rPr>
          <w:sz w:val="24"/>
          <w:szCs w:val="24"/>
        </w:rPr>
        <w:t xml:space="preserve"> </w:t>
      </w:r>
      <w:r w:rsidR="00C17E75" w:rsidRPr="008A715E">
        <w:rPr>
          <w:i/>
          <w:sz w:val="24"/>
          <w:szCs w:val="24"/>
        </w:rPr>
        <w:t>Der Doppelstaat</w:t>
      </w:r>
      <w:r w:rsidR="00C17E75">
        <w:rPr>
          <w:sz w:val="24"/>
          <w:szCs w:val="24"/>
        </w:rPr>
        <w:t>,</w:t>
      </w:r>
      <w:r w:rsidR="006D0285">
        <w:rPr>
          <w:sz w:val="24"/>
          <w:szCs w:val="24"/>
        </w:rPr>
        <w:t xml:space="preserve"> nebeneinander entwickeln</w:t>
      </w:r>
      <w:r w:rsidR="008A715E">
        <w:rPr>
          <w:sz w:val="24"/>
          <w:szCs w:val="24"/>
        </w:rPr>
        <w:t>.</w:t>
      </w:r>
    </w:p>
    <w:p w:rsidR="00BC15BF" w:rsidRDefault="00B82BD5" w:rsidP="003E3BE1">
      <w:pPr>
        <w:spacing w:after="0"/>
        <w:ind w:firstLine="708"/>
        <w:jc w:val="both"/>
        <w:rPr>
          <w:sz w:val="24"/>
          <w:szCs w:val="24"/>
        </w:rPr>
      </w:pPr>
      <w:r>
        <w:rPr>
          <w:sz w:val="24"/>
          <w:szCs w:val="24"/>
        </w:rPr>
        <w:t>Durch</w:t>
      </w:r>
      <w:r w:rsidR="003A3716">
        <w:rPr>
          <w:sz w:val="24"/>
          <w:szCs w:val="24"/>
        </w:rPr>
        <w:t xml:space="preserve"> die Notverordnung wurden</w:t>
      </w:r>
      <w:r w:rsidR="00F31EDA">
        <w:rPr>
          <w:sz w:val="24"/>
          <w:szCs w:val="24"/>
        </w:rPr>
        <w:t xml:space="preserve"> </w:t>
      </w:r>
      <w:r w:rsidR="003A3716">
        <w:rPr>
          <w:sz w:val="24"/>
          <w:szCs w:val="24"/>
        </w:rPr>
        <w:t>die Artikel 114 der Weimarer Verfassung (Freiheit der Person), 115 (Unverletzlichkeit der Wohnung), 117 (Postgeheimnis), 118 (Recht der freien Meinungsäußerung), 123 (Versammlungsfreiheit), 124 (Recht zur Bildung von Vere</w:t>
      </w:r>
      <w:r w:rsidR="003A3716">
        <w:rPr>
          <w:sz w:val="24"/>
          <w:szCs w:val="24"/>
        </w:rPr>
        <w:t>i</w:t>
      </w:r>
      <w:r w:rsidR="003A3716">
        <w:rPr>
          <w:sz w:val="24"/>
          <w:szCs w:val="24"/>
        </w:rPr>
        <w:t>nen) und 153 (Unverletzlichkeit des Eigentums)</w:t>
      </w:r>
      <w:r w:rsidR="00F31EDA">
        <w:rPr>
          <w:sz w:val="24"/>
          <w:szCs w:val="24"/>
        </w:rPr>
        <w:t xml:space="preserve"> aufgehobe</w:t>
      </w:r>
      <w:r w:rsidR="003A3716">
        <w:rPr>
          <w:sz w:val="24"/>
          <w:szCs w:val="24"/>
        </w:rPr>
        <w:t>n</w:t>
      </w:r>
      <w:r w:rsidR="00F31EDA">
        <w:rPr>
          <w:sz w:val="24"/>
          <w:szCs w:val="24"/>
        </w:rPr>
        <w:t>. Durch § 2 der Verordnung wu</w:t>
      </w:r>
      <w:r w:rsidR="00F31EDA">
        <w:rPr>
          <w:sz w:val="24"/>
          <w:szCs w:val="24"/>
        </w:rPr>
        <w:t>r</w:t>
      </w:r>
      <w:r w:rsidR="00F31EDA">
        <w:rPr>
          <w:sz w:val="24"/>
          <w:szCs w:val="24"/>
        </w:rPr>
        <w:t>de der Reichsregierung außerdem die Möglichkeit eingeräumt, ihrerseits die Befugnisse der Landesregierungen auszuüben</w:t>
      </w:r>
      <w:r w:rsidR="006D0285">
        <w:rPr>
          <w:sz w:val="24"/>
          <w:szCs w:val="24"/>
        </w:rPr>
        <w:t>:</w:t>
      </w:r>
      <w:r w:rsidR="00651BB0">
        <w:rPr>
          <w:sz w:val="24"/>
          <w:szCs w:val="24"/>
        </w:rPr>
        <w:t xml:space="preserve"> </w:t>
      </w:r>
    </w:p>
    <w:p w:rsidR="00B82BD5" w:rsidRDefault="00B82BD5" w:rsidP="003E3BE1">
      <w:pPr>
        <w:spacing w:after="0"/>
        <w:ind w:left="1134"/>
        <w:jc w:val="both"/>
        <w:rPr>
          <w:sz w:val="24"/>
          <w:szCs w:val="24"/>
        </w:rPr>
      </w:pPr>
      <w:r>
        <w:rPr>
          <w:sz w:val="24"/>
          <w:szCs w:val="24"/>
        </w:rPr>
        <w:t>„Als die Nationalsozialisten mit allen Machtbefugnissen des zivilen Ausnahmez</w:t>
      </w:r>
      <w:r>
        <w:rPr>
          <w:sz w:val="24"/>
          <w:szCs w:val="24"/>
        </w:rPr>
        <w:t>u</w:t>
      </w:r>
      <w:r>
        <w:rPr>
          <w:sz w:val="24"/>
          <w:szCs w:val="24"/>
        </w:rPr>
        <w:t>standes ausgestattet waren, verfügten sie über die Mittel, um die verfassungsm</w:t>
      </w:r>
      <w:r>
        <w:rPr>
          <w:sz w:val="24"/>
          <w:szCs w:val="24"/>
        </w:rPr>
        <w:t>ä</w:t>
      </w:r>
      <w:r>
        <w:rPr>
          <w:sz w:val="24"/>
          <w:szCs w:val="24"/>
        </w:rPr>
        <w:t>ßige vorübergehende Diktatur (zwecks Wiederherstellung der gestörten öffentl</w:t>
      </w:r>
      <w:r>
        <w:rPr>
          <w:sz w:val="24"/>
          <w:szCs w:val="24"/>
        </w:rPr>
        <w:t>i</w:t>
      </w:r>
      <w:r>
        <w:rPr>
          <w:sz w:val="24"/>
          <w:szCs w:val="24"/>
        </w:rPr>
        <w:t xml:space="preserve">chen Ordnung) </w:t>
      </w:r>
      <w:r w:rsidRPr="00B82BD5">
        <w:rPr>
          <w:i/>
          <w:sz w:val="24"/>
          <w:szCs w:val="24"/>
        </w:rPr>
        <w:t>in die verfassungswidrige dauernde Diktatur</w:t>
      </w:r>
      <w:r>
        <w:rPr>
          <w:sz w:val="24"/>
          <w:szCs w:val="24"/>
        </w:rPr>
        <w:t xml:space="preserve"> (zwecks Errichtung des nationalsozialistischen Staates mit unbegrenzten Hoheitsbefugnissen) umz</w:t>
      </w:r>
      <w:r>
        <w:rPr>
          <w:sz w:val="24"/>
          <w:szCs w:val="24"/>
        </w:rPr>
        <w:t>u</w:t>
      </w:r>
      <w:r>
        <w:rPr>
          <w:sz w:val="24"/>
          <w:szCs w:val="24"/>
        </w:rPr>
        <w:t>wandeln. Diese ihnen von Hindenburg und seiner Clique gebotene Gelegenheit haben sie sich nicht entgehen lassen. V</w:t>
      </w:r>
      <w:r w:rsidR="00F31EDA">
        <w:rPr>
          <w:sz w:val="24"/>
          <w:szCs w:val="24"/>
        </w:rPr>
        <w:t>i</w:t>
      </w:r>
      <w:r>
        <w:rPr>
          <w:sz w:val="24"/>
          <w:szCs w:val="24"/>
        </w:rPr>
        <w:t>e</w:t>
      </w:r>
      <w:r w:rsidR="00F31EDA">
        <w:rPr>
          <w:sz w:val="24"/>
          <w:szCs w:val="24"/>
        </w:rPr>
        <w:t>l</w:t>
      </w:r>
      <w:r>
        <w:rPr>
          <w:sz w:val="24"/>
          <w:szCs w:val="24"/>
        </w:rPr>
        <w:t>mehr verwandelten sie die kommissar</w:t>
      </w:r>
      <w:r>
        <w:rPr>
          <w:sz w:val="24"/>
          <w:szCs w:val="24"/>
        </w:rPr>
        <w:t>i</w:t>
      </w:r>
      <w:r>
        <w:rPr>
          <w:sz w:val="24"/>
          <w:szCs w:val="24"/>
        </w:rPr>
        <w:t>sche in eine souveräne Diktatur.“</w:t>
      </w:r>
      <w:r w:rsidR="00F31EDA">
        <w:rPr>
          <w:rStyle w:val="Funotenzeichen"/>
          <w:sz w:val="24"/>
          <w:szCs w:val="24"/>
        </w:rPr>
        <w:footnoteReference w:id="9"/>
      </w:r>
      <w:r>
        <w:rPr>
          <w:sz w:val="24"/>
          <w:szCs w:val="24"/>
        </w:rPr>
        <w:t xml:space="preserve"> </w:t>
      </w:r>
    </w:p>
    <w:p w:rsidR="00F31EDA" w:rsidRDefault="00F31EDA" w:rsidP="003E3BE1">
      <w:pPr>
        <w:spacing w:after="0"/>
        <w:jc w:val="both"/>
        <w:rPr>
          <w:sz w:val="24"/>
          <w:szCs w:val="24"/>
        </w:rPr>
      </w:pPr>
      <w:proofErr w:type="spellStart"/>
      <w:r>
        <w:rPr>
          <w:sz w:val="24"/>
          <w:szCs w:val="24"/>
        </w:rPr>
        <w:lastRenderedPageBreak/>
        <w:t>Fraenkel</w:t>
      </w:r>
      <w:proofErr w:type="spellEnd"/>
      <w:r>
        <w:rPr>
          <w:sz w:val="24"/>
          <w:szCs w:val="24"/>
        </w:rPr>
        <w:t xml:space="preserve"> f</w:t>
      </w:r>
      <w:r w:rsidR="00482161">
        <w:rPr>
          <w:sz w:val="24"/>
          <w:szCs w:val="24"/>
        </w:rPr>
        <w:t xml:space="preserve">ormuliert </w:t>
      </w:r>
      <w:r w:rsidR="00C17E75">
        <w:rPr>
          <w:sz w:val="24"/>
          <w:szCs w:val="24"/>
        </w:rPr>
        <w:t>di</w:t>
      </w:r>
      <w:r w:rsidR="00482161">
        <w:rPr>
          <w:sz w:val="24"/>
          <w:szCs w:val="24"/>
        </w:rPr>
        <w:t>e zentrale These</w:t>
      </w:r>
      <w:r w:rsidR="00C17E75">
        <w:rPr>
          <w:sz w:val="24"/>
          <w:szCs w:val="24"/>
        </w:rPr>
        <w:t>, mit der er die Dynamik und Zielsetzung der polit</w:t>
      </w:r>
      <w:r w:rsidR="00C17E75">
        <w:rPr>
          <w:sz w:val="24"/>
          <w:szCs w:val="24"/>
        </w:rPr>
        <w:t>i</w:t>
      </w:r>
      <w:r w:rsidR="00C17E75">
        <w:rPr>
          <w:sz w:val="24"/>
          <w:szCs w:val="24"/>
        </w:rPr>
        <w:t xml:space="preserve">schen Entwicklung charakterisiert, </w:t>
      </w:r>
      <w:r w:rsidR="00482161">
        <w:rPr>
          <w:sz w:val="24"/>
          <w:szCs w:val="24"/>
        </w:rPr>
        <w:t>mit folgendem Satz:</w:t>
      </w:r>
    </w:p>
    <w:p w:rsidR="00B82BD5" w:rsidRDefault="00B82BD5" w:rsidP="003E3BE1">
      <w:pPr>
        <w:spacing w:after="0"/>
        <w:ind w:left="1134"/>
        <w:jc w:val="both"/>
        <w:rPr>
          <w:sz w:val="24"/>
          <w:szCs w:val="24"/>
        </w:rPr>
      </w:pPr>
      <w:r>
        <w:rPr>
          <w:sz w:val="24"/>
          <w:szCs w:val="24"/>
        </w:rPr>
        <w:t xml:space="preserve">„Der Ausbau und die Handhabung </w:t>
      </w:r>
      <w:r w:rsidRPr="008A715E">
        <w:rPr>
          <w:i/>
          <w:sz w:val="24"/>
          <w:szCs w:val="24"/>
        </w:rPr>
        <w:t>dieser souveränen Diktatur</w:t>
      </w:r>
      <w:r>
        <w:rPr>
          <w:sz w:val="24"/>
          <w:szCs w:val="24"/>
        </w:rPr>
        <w:t xml:space="preserve"> ist die Funktion des Maßnahmenstaates“</w:t>
      </w:r>
      <w:r w:rsidR="00482161">
        <w:rPr>
          <w:sz w:val="24"/>
          <w:szCs w:val="24"/>
        </w:rPr>
        <w:t>.</w:t>
      </w:r>
      <w:r w:rsidR="00482161">
        <w:rPr>
          <w:rStyle w:val="Funotenzeichen"/>
          <w:sz w:val="24"/>
          <w:szCs w:val="24"/>
        </w:rPr>
        <w:footnoteReference w:id="10"/>
      </w:r>
      <w:r>
        <w:rPr>
          <w:sz w:val="24"/>
          <w:szCs w:val="24"/>
        </w:rPr>
        <w:t xml:space="preserve"> </w:t>
      </w:r>
    </w:p>
    <w:p w:rsidR="00482161" w:rsidRDefault="00475F3E" w:rsidP="003E3BE1">
      <w:pPr>
        <w:spacing w:after="0"/>
        <w:jc w:val="both"/>
        <w:rPr>
          <w:sz w:val="24"/>
          <w:szCs w:val="24"/>
        </w:rPr>
      </w:pPr>
      <w:r>
        <w:rPr>
          <w:sz w:val="24"/>
          <w:szCs w:val="24"/>
        </w:rPr>
        <w:t xml:space="preserve">Eine </w:t>
      </w:r>
      <w:r w:rsidR="00C17E75">
        <w:rPr>
          <w:sz w:val="24"/>
          <w:szCs w:val="24"/>
        </w:rPr>
        <w:t xml:space="preserve">genauere </w:t>
      </w:r>
      <w:r>
        <w:rPr>
          <w:sz w:val="24"/>
          <w:szCs w:val="24"/>
        </w:rPr>
        <w:t>Spezifizierung des Begriffes „Maßnahmenstaat“ liefert Michael Wildt:</w:t>
      </w:r>
    </w:p>
    <w:p w:rsidR="00482161" w:rsidRDefault="00475F3E" w:rsidP="003E3BE1">
      <w:pPr>
        <w:spacing w:after="0"/>
        <w:ind w:left="1134"/>
        <w:jc w:val="both"/>
        <w:rPr>
          <w:sz w:val="24"/>
          <w:szCs w:val="24"/>
        </w:rPr>
      </w:pPr>
      <w:r>
        <w:rPr>
          <w:sz w:val="24"/>
          <w:szCs w:val="24"/>
        </w:rPr>
        <w:t xml:space="preserve">„Unter ‚Maßnahmenstaat‘ verstand </w:t>
      </w:r>
      <w:proofErr w:type="spellStart"/>
      <w:r>
        <w:rPr>
          <w:sz w:val="24"/>
          <w:szCs w:val="24"/>
        </w:rPr>
        <w:t>Fraenkel</w:t>
      </w:r>
      <w:proofErr w:type="spellEnd"/>
      <w:r>
        <w:rPr>
          <w:sz w:val="24"/>
          <w:szCs w:val="24"/>
        </w:rPr>
        <w:t xml:space="preserve"> das ‚Herrschaftssystem der unb</w:t>
      </w:r>
      <w:r>
        <w:rPr>
          <w:sz w:val="24"/>
          <w:szCs w:val="24"/>
        </w:rPr>
        <w:t>e</w:t>
      </w:r>
      <w:r>
        <w:rPr>
          <w:sz w:val="24"/>
          <w:szCs w:val="24"/>
        </w:rPr>
        <w:t>schränkten Willkür und Gewalt, das durch keinerlei rechtliche Garantien eing</w:t>
      </w:r>
      <w:r>
        <w:rPr>
          <w:sz w:val="24"/>
          <w:szCs w:val="24"/>
        </w:rPr>
        <w:t>e</w:t>
      </w:r>
      <w:r>
        <w:rPr>
          <w:sz w:val="24"/>
          <w:szCs w:val="24"/>
        </w:rPr>
        <w:t>schrä</w:t>
      </w:r>
      <w:r w:rsidR="00483874">
        <w:rPr>
          <w:sz w:val="24"/>
          <w:szCs w:val="24"/>
        </w:rPr>
        <w:t>n</w:t>
      </w:r>
      <w:r>
        <w:rPr>
          <w:sz w:val="24"/>
          <w:szCs w:val="24"/>
        </w:rPr>
        <w:t>kt ist‘, unter ‚Normenstaat‘ das ‚Regierungssystem, das mit weitgehenden Herrschaftsbefugnissen zwecks Aufrechterhaltung der Rechtsordnung ausgestattet ist, wie sie in Gesetzen, Gerichtsentscheidungen und Verwaltungsakten der Ex</w:t>
      </w:r>
      <w:r>
        <w:rPr>
          <w:sz w:val="24"/>
          <w:szCs w:val="24"/>
        </w:rPr>
        <w:t>e</w:t>
      </w:r>
      <w:r>
        <w:rPr>
          <w:sz w:val="24"/>
          <w:szCs w:val="24"/>
        </w:rPr>
        <w:t>kutive zum Ausdruck gelangen‘.“</w:t>
      </w:r>
      <w:r>
        <w:rPr>
          <w:rStyle w:val="Funotenzeichen"/>
          <w:sz w:val="24"/>
          <w:szCs w:val="24"/>
        </w:rPr>
        <w:footnoteReference w:id="11"/>
      </w:r>
    </w:p>
    <w:p w:rsidR="00482161" w:rsidRDefault="00483874" w:rsidP="003E3BE1">
      <w:pPr>
        <w:spacing w:after="0"/>
        <w:jc w:val="both"/>
        <w:rPr>
          <w:sz w:val="24"/>
          <w:szCs w:val="24"/>
        </w:rPr>
      </w:pPr>
      <w:r>
        <w:rPr>
          <w:sz w:val="24"/>
          <w:szCs w:val="24"/>
        </w:rPr>
        <w:t xml:space="preserve">Für </w:t>
      </w:r>
      <w:proofErr w:type="spellStart"/>
      <w:r>
        <w:rPr>
          <w:sz w:val="24"/>
          <w:szCs w:val="24"/>
        </w:rPr>
        <w:t>Fraenkel</w:t>
      </w:r>
      <w:proofErr w:type="spellEnd"/>
      <w:r>
        <w:rPr>
          <w:sz w:val="24"/>
          <w:szCs w:val="24"/>
        </w:rPr>
        <w:t xml:space="preserve"> </w:t>
      </w:r>
      <w:r w:rsidR="008A715E">
        <w:rPr>
          <w:sz w:val="24"/>
          <w:szCs w:val="24"/>
        </w:rPr>
        <w:t>ist</w:t>
      </w:r>
      <w:r>
        <w:rPr>
          <w:sz w:val="24"/>
          <w:szCs w:val="24"/>
        </w:rPr>
        <w:t xml:space="preserve"> die nationalsozialistische Herrschaft </w:t>
      </w:r>
      <w:r w:rsidR="00C17E75">
        <w:rPr>
          <w:sz w:val="24"/>
          <w:szCs w:val="24"/>
        </w:rPr>
        <w:t xml:space="preserve">folglich </w:t>
      </w:r>
      <w:r>
        <w:rPr>
          <w:sz w:val="24"/>
          <w:szCs w:val="24"/>
        </w:rPr>
        <w:t>keine „bloße Usurpation der Staatsgewalt durch die Partei</w:t>
      </w:r>
      <w:r w:rsidR="00C17E75">
        <w:rPr>
          <w:sz w:val="24"/>
          <w:szCs w:val="24"/>
        </w:rPr>
        <w:t xml:space="preserve">“, wie der überwiegende Teil der Geschichtswissenschaft die Entwicklung beschreibt, </w:t>
      </w:r>
      <w:r w:rsidR="00C17E75" w:rsidRPr="008A715E">
        <w:rPr>
          <w:sz w:val="24"/>
          <w:szCs w:val="24"/>
        </w:rPr>
        <w:t>„</w:t>
      </w:r>
      <w:r w:rsidRPr="008A715E">
        <w:rPr>
          <w:sz w:val="24"/>
          <w:szCs w:val="24"/>
        </w:rPr>
        <w:t xml:space="preserve">sondern die </w:t>
      </w:r>
      <w:r w:rsidRPr="002525F0">
        <w:rPr>
          <w:i/>
          <w:sz w:val="24"/>
          <w:szCs w:val="24"/>
        </w:rPr>
        <w:t>Transformation des Staates durch die Nationalsoziali</w:t>
      </w:r>
      <w:r w:rsidRPr="002525F0">
        <w:rPr>
          <w:i/>
          <w:sz w:val="24"/>
          <w:szCs w:val="24"/>
        </w:rPr>
        <w:t>s</w:t>
      </w:r>
      <w:r w:rsidRPr="002525F0">
        <w:rPr>
          <w:i/>
          <w:sz w:val="24"/>
          <w:szCs w:val="24"/>
        </w:rPr>
        <w:t>ten</w:t>
      </w:r>
      <w:r w:rsidRPr="008A715E">
        <w:rPr>
          <w:sz w:val="24"/>
          <w:szCs w:val="24"/>
        </w:rPr>
        <w:t>“</w:t>
      </w:r>
      <w:r>
        <w:rPr>
          <w:sz w:val="24"/>
          <w:szCs w:val="24"/>
        </w:rPr>
        <w:t>.</w:t>
      </w:r>
      <w:r>
        <w:rPr>
          <w:rStyle w:val="Funotenzeichen"/>
          <w:sz w:val="24"/>
          <w:szCs w:val="24"/>
        </w:rPr>
        <w:footnoteReference w:id="12"/>
      </w:r>
      <w:r w:rsidR="008A715E">
        <w:rPr>
          <w:sz w:val="24"/>
          <w:szCs w:val="24"/>
        </w:rPr>
        <w:t xml:space="preserve"> </w:t>
      </w:r>
      <w:r w:rsidR="00606750">
        <w:rPr>
          <w:sz w:val="24"/>
          <w:szCs w:val="24"/>
        </w:rPr>
        <w:t>Es ist eine Transformation zurück zu einer Variante einer rassistischen, aggressiven absoluten Monarchie.</w:t>
      </w:r>
    </w:p>
    <w:p w:rsidR="00826F9B" w:rsidRDefault="00826F9B" w:rsidP="003E3BE1">
      <w:pPr>
        <w:spacing w:after="0"/>
        <w:jc w:val="both"/>
        <w:rPr>
          <w:sz w:val="24"/>
          <w:szCs w:val="24"/>
        </w:rPr>
      </w:pPr>
    </w:p>
    <w:p w:rsidR="00482161" w:rsidRDefault="00483874" w:rsidP="003E3BE1">
      <w:pPr>
        <w:spacing w:after="0"/>
        <w:jc w:val="both"/>
        <w:rPr>
          <w:sz w:val="24"/>
          <w:szCs w:val="24"/>
        </w:rPr>
      </w:pPr>
      <w:r>
        <w:rPr>
          <w:sz w:val="24"/>
          <w:szCs w:val="24"/>
        </w:rPr>
        <w:tab/>
        <w:t>Der „zivile Ausnahmezustand“</w:t>
      </w:r>
      <w:r w:rsidR="00651BB0">
        <w:rPr>
          <w:sz w:val="24"/>
          <w:szCs w:val="24"/>
        </w:rPr>
        <w:t xml:space="preserve"> </w:t>
      </w:r>
      <w:r w:rsidR="00420375">
        <w:rPr>
          <w:sz w:val="24"/>
          <w:szCs w:val="24"/>
        </w:rPr>
        <w:t xml:space="preserve">wurde durch die Notverordnung vom 28. Februar 1933 geschaffen. </w:t>
      </w:r>
      <w:proofErr w:type="spellStart"/>
      <w:r w:rsidR="00651BB0">
        <w:rPr>
          <w:sz w:val="24"/>
          <w:szCs w:val="24"/>
        </w:rPr>
        <w:t>Fraenkel</w:t>
      </w:r>
      <w:proofErr w:type="spellEnd"/>
      <w:r w:rsidR="00420375">
        <w:rPr>
          <w:sz w:val="24"/>
          <w:szCs w:val="24"/>
        </w:rPr>
        <w:t xml:space="preserve"> lenkt den Blick jedoch nicht auf das Instrument als solches</w:t>
      </w:r>
      <w:r w:rsidR="00651BB0">
        <w:rPr>
          <w:sz w:val="24"/>
          <w:szCs w:val="24"/>
        </w:rPr>
        <w:t>,</w:t>
      </w:r>
      <w:r w:rsidR="00420375">
        <w:rPr>
          <w:sz w:val="24"/>
          <w:szCs w:val="24"/>
        </w:rPr>
        <w:t xml:space="preserve"> </w:t>
      </w:r>
      <w:r w:rsidR="00606750">
        <w:rPr>
          <w:sz w:val="24"/>
          <w:szCs w:val="24"/>
        </w:rPr>
        <w:t xml:space="preserve">auch nicht auf die Akteure, also auf die Regierung und ihre Organe, </w:t>
      </w:r>
      <w:r w:rsidR="00420375">
        <w:rPr>
          <w:sz w:val="24"/>
          <w:szCs w:val="24"/>
        </w:rPr>
        <w:t xml:space="preserve">sondern auf die </w:t>
      </w:r>
      <w:r w:rsidR="00606750">
        <w:rPr>
          <w:sz w:val="24"/>
          <w:szCs w:val="24"/>
        </w:rPr>
        <w:t xml:space="preserve">Reaktion der </w:t>
      </w:r>
      <w:r w:rsidR="00420375">
        <w:rPr>
          <w:sz w:val="24"/>
          <w:szCs w:val="24"/>
        </w:rPr>
        <w:t>o</w:t>
      </w:r>
      <w:r w:rsidR="00420375">
        <w:rPr>
          <w:sz w:val="24"/>
          <w:szCs w:val="24"/>
        </w:rPr>
        <w:t>r</w:t>
      </w:r>
      <w:r w:rsidR="00420375">
        <w:rPr>
          <w:sz w:val="24"/>
          <w:szCs w:val="24"/>
        </w:rPr>
        <w:t>dentlichen Gerichte und die Verwaltungsgerichte</w:t>
      </w:r>
      <w:r w:rsidR="00606750">
        <w:rPr>
          <w:sz w:val="24"/>
          <w:szCs w:val="24"/>
        </w:rPr>
        <w:t>, deren Pflicht es laut Verfassung ist, dass staatliche Handeln auf seine Rechtmäßigkeit hin zu überprüfen</w:t>
      </w:r>
      <w:r w:rsidR="00C17E75">
        <w:rPr>
          <w:sz w:val="24"/>
          <w:szCs w:val="24"/>
        </w:rPr>
        <w:t xml:space="preserve">. Die Gerichte – keineswegs eine Partei- oder Regierungsinstanz! – </w:t>
      </w:r>
      <w:r w:rsidR="00606750">
        <w:rPr>
          <w:sz w:val="24"/>
          <w:szCs w:val="24"/>
        </w:rPr>
        <w:t xml:space="preserve">haben im Dritten Reich </w:t>
      </w:r>
      <w:r w:rsidR="00C17E75">
        <w:rPr>
          <w:sz w:val="24"/>
          <w:szCs w:val="24"/>
        </w:rPr>
        <w:t>entsch</w:t>
      </w:r>
      <w:r w:rsidR="00606750">
        <w:rPr>
          <w:sz w:val="24"/>
          <w:szCs w:val="24"/>
        </w:rPr>
        <w:t>ie</w:t>
      </w:r>
      <w:r w:rsidR="00C17E75">
        <w:rPr>
          <w:sz w:val="24"/>
          <w:szCs w:val="24"/>
        </w:rPr>
        <w:t>den, dass das staatliche Handeln keiner richterlichen Kontrolle unterl</w:t>
      </w:r>
      <w:r w:rsidR="00606750">
        <w:rPr>
          <w:sz w:val="24"/>
          <w:szCs w:val="24"/>
        </w:rPr>
        <w:t>ie</w:t>
      </w:r>
      <w:r w:rsidR="00C17E75">
        <w:rPr>
          <w:sz w:val="24"/>
          <w:szCs w:val="24"/>
        </w:rPr>
        <w:t>g</w:t>
      </w:r>
      <w:r w:rsidR="00606750">
        <w:rPr>
          <w:sz w:val="24"/>
          <w:szCs w:val="24"/>
        </w:rPr>
        <w:t>t</w:t>
      </w:r>
      <w:r w:rsidR="00420375">
        <w:rPr>
          <w:sz w:val="24"/>
          <w:szCs w:val="24"/>
        </w:rPr>
        <w:t>:</w:t>
      </w:r>
    </w:p>
    <w:p w:rsidR="00420375" w:rsidRDefault="00420375" w:rsidP="003E3BE1">
      <w:pPr>
        <w:spacing w:after="0"/>
        <w:ind w:left="1134"/>
        <w:jc w:val="both"/>
        <w:rPr>
          <w:sz w:val="24"/>
          <w:szCs w:val="24"/>
        </w:rPr>
      </w:pPr>
      <w:r>
        <w:rPr>
          <w:sz w:val="24"/>
          <w:szCs w:val="24"/>
        </w:rPr>
        <w:t xml:space="preserve">„Die Handhabung dieser Notverordnung </w:t>
      </w:r>
      <w:proofErr w:type="spellStart"/>
      <w:r>
        <w:rPr>
          <w:sz w:val="24"/>
          <w:szCs w:val="24"/>
        </w:rPr>
        <w:t>mußte</w:t>
      </w:r>
      <w:proofErr w:type="spellEnd"/>
      <w:r>
        <w:rPr>
          <w:sz w:val="24"/>
          <w:szCs w:val="24"/>
        </w:rPr>
        <w:t xml:space="preserve"> dazu herhalten, den politischen Sektor des deutschen öffentlichen Lebens der Herrschaft des Rechts zu entziehen. Hierzu haben die ordentlichen Gerichte und die Verwaltungsgerichte das ihre </w:t>
      </w:r>
      <w:r w:rsidR="00606750">
        <w:rPr>
          <w:sz w:val="24"/>
          <w:szCs w:val="24"/>
        </w:rPr>
        <w:t xml:space="preserve">[sic] </w:t>
      </w:r>
      <w:r>
        <w:rPr>
          <w:sz w:val="24"/>
          <w:szCs w:val="24"/>
        </w:rPr>
        <w:t>beigetragen. Im heutigen Deutschland wird innerhalb dieses Sektors die Staatsg</w:t>
      </w:r>
      <w:r>
        <w:rPr>
          <w:sz w:val="24"/>
          <w:szCs w:val="24"/>
        </w:rPr>
        <w:t>e</w:t>
      </w:r>
      <w:r>
        <w:rPr>
          <w:sz w:val="24"/>
          <w:szCs w:val="24"/>
        </w:rPr>
        <w:t>walt nicht nach den Maßstäben des Rechts mit dem Ziel der Verwirklichung der Gerechtigkeit gehan</w:t>
      </w:r>
      <w:r w:rsidR="00651BB0">
        <w:rPr>
          <w:sz w:val="24"/>
          <w:szCs w:val="24"/>
        </w:rPr>
        <w:t>d</w:t>
      </w:r>
      <w:r>
        <w:rPr>
          <w:sz w:val="24"/>
          <w:szCs w:val="24"/>
        </w:rPr>
        <w:t>habt, vielmehr werden in jedem Einzelfall die Entscheidu</w:t>
      </w:r>
      <w:r>
        <w:rPr>
          <w:sz w:val="24"/>
          <w:szCs w:val="24"/>
        </w:rPr>
        <w:t>n</w:t>
      </w:r>
      <w:r>
        <w:rPr>
          <w:sz w:val="24"/>
          <w:szCs w:val="24"/>
        </w:rPr>
        <w:t>gen nach Lage der Sache gefällt. Im politischen Sektor dient, was immer als ‚Recht‘ bezeichnet werden mag, ausschließlich dem Zweck, die politischen Ziele des Regimes zu fördern.“</w:t>
      </w:r>
      <w:r>
        <w:rPr>
          <w:rStyle w:val="Funotenzeichen"/>
          <w:sz w:val="24"/>
          <w:szCs w:val="24"/>
        </w:rPr>
        <w:footnoteReference w:id="13"/>
      </w:r>
    </w:p>
    <w:p w:rsidR="00482161" w:rsidRDefault="00235995" w:rsidP="003E3BE1">
      <w:pPr>
        <w:spacing w:after="0"/>
        <w:jc w:val="both"/>
        <w:rPr>
          <w:sz w:val="24"/>
          <w:szCs w:val="24"/>
        </w:rPr>
      </w:pPr>
      <w:r>
        <w:rPr>
          <w:sz w:val="24"/>
          <w:szCs w:val="24"/>
        </w:rPr>
        <w:t>Dies ist eine Feststellung, die für das Verständnis de</w:t>
      </w:r>
      <w:r w:rsidR="00C17E75">
        <w:rPr>
          <w:sz w:val="24"/>
          <w:szCs w:val="24"/>
        </w:rPr>
        <w:t>r</w:t>
      </w:r>
      <w:r>
        <w:rPr>
          <w:sz w:val="24"/>
          <w:szCs w:val="24"/>
        </w:rPr>
        <w:t xml:space="preserve"> politischen </w:t>
      </w:r>
      <w:r w:rsidR="00C17E75">
        <w:rPr>
          <w:sz w:val="24"/>
          <w:szCs w:val="24"/>
        </w:rPr>
        <w:t>Realität</w:t>
      </w:r>
      <w:r>
        <w:rPr>
          <w:sz w:val="24"/>
          <w:szCs w:val="24"/>
        </w:rPr>
        <w:t xml:space="preserve"> im nationalsoziali</w:t>
      </w:r>
      <w:r>
        <w:rPr>
          <w:sz w:val="24"/>
          <w:szCs w:val="24"/>
        </w:rPr>
        <w:t>s</w:t>
      </w:r>
      <w:r>
        <w:rPr>
          <w:sz w:val="24"/>
          <w:szCs w:val="24"/>
        </w:rPr>
        <w:t>tischen Deutschland ungemein erhellend ist</w:t>
      </w:r>
      <w:r w:rsidR="009970B5">
        <w:rPr>
          <w:sz w:val="24"/>
          <w:szCs w:val="24"/>
        </w:rPr>
        <w:t>.</w:t>
      </w:r>
      <w:r>
        <w:rPr>
          <w:sz w:val="24"/>
          <w:szCs w:val="24"/>
        </w:rPr>
        <w:t xml:space="preserve"> </w:t>
      </w:r>
      <w:r w:rsidR="00925129">
        <w:rPr>
          <w:sz w:val="24"/>
          <w:szCs w:val="24"/>
        </w:rPr>
        <w:t xml:space="preserve">Formell ist die Weimarer Verfassung unter der Herrschaft des Nationalsozialismus nicht außer Kraft gesetzt. </w:t>
      </w:r>
      <w:r>
        <w:rPr>
          <w:sz w:val="24"/>
          <w:szCs w:val="24"/>
        </w:rPr>
        <w:t xml:space="preserve">Indem </w:t>
      </w:r>
      <w:r w:rsidR="00651BB0">
        <w:rPr>
          <w:sz w:val="24"/>
          <w:szCs w:val="24"/>
        </w:rPr>
        <w:t xml:space="preserve">jedoch </w:t>
      </w:r>
      <w:r>
        <w:rPr>
          <w:sz w:val="24"/>
          <w:szCs w:val="24"/>
        </w:rPr>
        <w:t>die Gerichte von ihrer eigentlichen Aufgabe, „mit den Maßstäben des Rechts“ die „Verwirklichung der G</w:t>
      </w:r>
      <w:r>
        <w:rPr>
          <w:sz w:val="24"/>
          <w:szCs w:val="24"/>
        </w:rPr>
        <w:t>e</w:t>
      </w:r>
      <w:r>
        <w:rPr>
          <w:sz w:val="24"/>
          <w:szCs w:val="24"/>
        </w:rPr>
        <w:t xml:space="preserve">rechtigkeit“ anzustreben, Abstand genommen haben, haben sie sich ohne direkten Zwang zum Handlanger der Diktatur und ihrer Ziele gemacht. </w:t>
      </w:r>
      <w:r w:rsidR="009970B5">
        <w:rPr>
          <w:sz w:val="24"/>
          <w:szCs w:val="24"/>
        </w:rPr>
        <w:t xml:space="preserve">Für die </w:t>
      </w:r>
      <w:r w:rsidR="00606750">
        <w:rPr>
          <w:sz w:val="24"/>
          <w:szCs w:val="24"/>
        </w:rPr>
        <w:t xml:space="preserve">Mehrheit der Bevölkerung </w:t>
      </w:r>
      <w:r w:rsidR="009970B5">
        <w:rPr>
          <w:sz w:val="24"/>
          <w:szCs w:val="24"/>
        </w:rPr>
        <w:t xml:space="preserve">besteht </w:t>
      </w:r>
      <w:r w:rsidR="00651BB0">
        <w:rPr>
          <w:sz w:val="24"/>
          <w:szCs w:val="24"/>
        </w:rPr>
        <w:lastRenderedPageBreak/>
        <w:t>also</w:t>
      </w:r>
      <w:r w:rsidR="009970B5">
        <w:rPr>
          <w:sz w:val="24"/>
          <w:szCs w:val="24"/>
        </w:rPr>
        <w:t xml:space="preserve"> der Rechtsstaat unverändert weiter, während es für die Betroffenen: für „Juden“, „Sozis“ und „Bolschewisten“, also für den „politischen Gegner“ kein Recht gibt.</w:t>
      </w:r>
      <w:r w:rsidR="00651BB0">
        <w:rPr>
          <w:sz w:val="24"/>
          <w:szCs w:val="24"/>
        </w:rPr>
        <w:t xml:space="preserve"> </w:t>
      </w:r>
      <w:r>
        <w:rPr>
          <w:sz w:val="24"/>
          <w:szCs w:val="24"/>
        </w:rPr>
        <w:t xml:space="preserve">– </w:t>
      </w:r>
      <w:proofErr w:type="spellStart"/>
      <w:r>
        <w:rPr>
          <w:sz w:val="24"/>
          <w:szCs w:val="24"/>
        </w:rPr>
        <w:t>Fraenkel</w:t>
      </w:r>
      <w:proofErr w:type="spellEnd"/>
      <w:r>
        <w:rPr>
          <w:sz w:val="24"/>
          <w:szCs w:val="24"/>
        </w:rPr>
        <w:t xml:space="preserve"> zieht da</w:t>
      </w:r>
      <w:r>
        <w:rPr>
          <w:sz w:val="24"/>
          <w:szCs w:val="24"/>
        </w:rPr>
        <w:t>r</w:t>
      </w:r>
      <w:r>
        <w:rPr>
          <w:sz w:val="24"/>
          <w:szCs w:val="24"/>
        </w:rPr>
        <w:t xml:space="preserve">aus eine verfassungstheoretisch grundlegende </w:t>
      </w:r>
      <w:r w:rsidR="009970B5">
        <w:rPr>
          <w:sz w:val="24"/>
          <w:szCs w:val="24"/>
        </w:rPr>
        <w:t>Schlussfolgerung:</w:t>
      </w:r>
    </w:p>
    <w:p w:rsidR="009970B5" w:rsidRDefault="009970B5" w:rsidP="003E3BE1">
      <w:pPr>
        <w:spacing w:after="0"/>
        <w:ind w:left="1134"/>
        <w:jc w:val="both"/>
        <w:rPr>
          <w:sz w:val="24"/>
          <w:szCs w:val="24"/>
        </w:rPr>
      </w:pPr>
      <w:r>
        <w:rPr>
          <w:sz w:val="24"/>
          <w:szCs w:val="24"/>
        </w:rPr>
        <w:t xml:space="preserve">„Der politische Sektor des Dritten Reichs bildet ein rechtliches Vakuum. Dies schließt nicht aus, </w:t>
      </w:r>
      <w:proofErr w:type="spellStart"/>
      <w:r>
        <w:rPr>
          <w:sz w:val="24"/>
          <w:szCs w:val="24"/>
        </w:rPr>
        <w:t>daß</w:t>
      </w:r>
      <w:proofErr w:type="spellEnd"/>
      <w:r>
        <w:rPr>
          <w:sz w:val="24"/>
          <w:szCs w:val="24"/>
        </w:rPr>
        <w:t xml:space="preserve"> innerhalb seines Apparats eine gewisse Ordnung und Ka</w:t>
      </w:r>
      <w:r>
        <w:rPr>
          <w:sz w:val="24"/>
          <w:szCs w:val="24"/>
        </w:rPr>
        <w:t>l</w:t>
      </w:r>
      <w:r>
        <w:rPr>
          <w:sz w:val="24"/>
          <w:szCs w:val="24"/>
        </w:rPr>
        <w:t>kulierbarkeit des Verhaltens seiner Funktionäre in Erscheinung tritt. Es fehlt j</w:t>
      </w:r>
      <w:r>
        <w:rPr>
          <w:sz w:val="24"/>
          <w:szCs w:val="24"/>
        </w:rPr>
        <w:t>e</w:t>
      </w:r>
      <w:r>
        <w:rPr>
          <w:sz w:val="24"/>
          <w:szCs w:val="24"/>
        </w:rPr>
        <w:t>doch in diesem Sektor eine auf Regelung des Verhaltens seiner Behörden und sonstigen Exekutivorgane. Im politischen Sektor des Dritten Reichs gibt es weder ein objektives noch ein subjektives Recht, keine Rechtsgarantien, keine allgemein gültigen Verfahrensvorschriften und Zuständigkeitsbestimmungen – kurzum, kein auch die Betroffenen verpflichtend</w:t>
      </w:r>
      <w:r w:rsidR="00925129">
        <w:rPr>
          <w:sz w:val="24"/>
          <w:szCs w:val="24"/>
        </w:rPr>
        <w:t>es</w:t>
      </w:r>
      <w:r>
        <w:rPr>
          <w:sz w:val="24"/>
          <w:szCs w:val="24"/>
        </w:rPr>
        <w:t xml:space="preserve"> und berechtigendes Verwaltungsrecht. In diesem politischen Sektor fehlen die Normen und Herrschen die Maßnahmen. D</w:t>
      </w:r>
      <w:r>
        <w:rPr>
          <w:sz w:val="24"/>
          <w:szCs w:val="24"/>
        </w:rPr>
        <w:t>a</w:t>
      </w:r>
      <w:r>
        <w:rPr>
          <w:sz w:val="24"/>
          <w:szCs w:val="24"/>
        </w:rPr>
        <w:t>her der Ausdruck ‚Maßnahmenstaat‘.“</w:t>
      </w:r>
      <w:r>
        <w:rPr>
          <w:rStyle w:val="Funotenzeichen"/>
          <w:sz w:val="24"/>
          <w:szCs w:val="24"/>
        </w:rPr>
        <w:footnoteReference w:id="14"/>
      </w:r>
    </w:p>
    <w:p w:rsidR="00482161" w:rsidRDefault="00925129" w:rsidP="003E3BE1">
      <w:pPr>
        <w:spacing w:after="0"/>
        <w:jc w:val="both"/>
        <w:rPr>
          <w:sz w:val="24"/>
          <w:szCs w:val="24"/>
        </w:rPr>
      </w:pPr>
      <w:r>
        <w:rPr>
          <w:sz w:val="24"/>
          <w:szCs w:val="24"/>
        </w:rPr>
        <w:t xml:space="preserve">Das „rechtliche Vakuum“ entsteht dadurch, dass </w:t>
      </w:r>
      <w:r w:rsidR="009A33A9">
        <w:rPr>
          <w:sz w:val="24"/>
          <w:szCs w:val="24"/>
        </w:rPr>
        <w:t>der Reichspräsident</w:t>
      </w:r>
      <w:r w:rsidR="009A33A9" w:rsidRPr="00C17E75">
        <w:rPr>
          <w:i/>
          <w:sz w:val="24"/>
          <w:szCs w:val="24"/>
        </w:rPr>
        <w:t xml:space="preserve"> </w:t>
      </w:r>
      <w:r w:rsidR="009A33A9">
        <w:rPr>
          <w:sz w:val="24"/>
          <w:szCs w:val="24"/>
        </w:rPr>
        <w:t>bzw.</w:t>
      </w:r>
      <w:r w:rsidR="009A33A9" w:rsidRPr="00C17E75">
        <w:rPr>
          <w:i/>
          <w:sz w:val="24"/>
          <w:szCs w:val="24"/>
        </w:rPr>
        <w:t xml:space="preserve"> </w:t>
      </w:r>
      <w:r w:rsidR="009A33A9">
        <w:rPr>
          <w:sz w:val="24"/>
          <w:szCs w:val="24"/>
        </w:rPr>
        <w:t xml:space="preserve">die </w:t>
      </w:r>
      <w:r w:rsidRPr="00C17E75">
        <w:rPr>
          <w:i/>
          <w:sz w:val="24"/>
          <w:szCs w:val="24"/>
        </w:rPr>
        <w:t>Regierung</w:t>
      </w:r>
      <w:r w:rsidR="00651BB0">
        <w:rPr>
          <w:sz w:val="24"/>
          <w:szCs w:val="24"/>
        </w:rPr>
        <w:t>,</w:t>
      </w:r>
      <w:r>
        <w:rPr>
          <w:sz w:val="24"/>
          <w:szCs w:val="24"/>
        </w:rPr>
        <w:t xml:space="preserve"> </w:t>
      </w:r>
      <w:r w:rsidRPr="00925129">
        <w:rPr>
          <w:i/>
          <w:sz w:val="24"/>
          <w:szCs w:val="24"/>
        </w:rPr>
        <w:t xml:space="preserve">nicht </w:t>
      </w:r>
      <w:r w:rsidR="00C17E75">
        <w:rPr>
          <w:i/>
          <w:sz w:val="24"/>
          <w:szCs w:val="24"/>
        </w:rPr>
        <w:t xml:space="preserve">aber </w:t>
      </w:r>
      <w:r w:rsidRPr="00925129">
        <w:rPr>
          <w:i/>
          <w:sz w:val="24"/>
          <w:szCs w:val="24"/>
        </w:rPr>
        <w:t>ein Gericht</w:t>
      </w:r>
      <w:r w:rsidR="00651BB0">
        <w:rPr>
          <w:i/>
          <w:sz w:val="24"/>
          <w:szCs w:val="24"/>
        </w:rPr>
        <w:t>,</w:t>
      </w:r>
      <w:r>
        <w:rPr>
          <w:sz w:val="24"/>
          <w:szCs w:val="24"/>
        </w:rPr>
        <w:t xml:space="preserve"> darüber entscheidet, ob </w:t>
      </w:r>
      <w:r w:rsidR="009A33A9">
        <w:rPr>
          <w:sz w:val="24"/>
          <w:szCs w:val="24"/>
        </w:rPr>
        <w:t xml:space="preserve">überhaupt </w:t>
      </w:r>
      <w:r>
        <w:rPr>
          <w:sz w:val="24"/>
          <w:szCs w:val="24"/>
        </w:rPr>
        <w:t xml:space="preserve">Staatsnotstand vorliegt oder nicht, also die </w:t>
      </w:r>
      <w:r w:rsidR="00651BB0">
        <w:rPr>
          <w:sz w:val="24"/>
          <w:szCs w:val="24"/>
        </w:rPr>
        <w:t>N</w:t>
      </w:r>
      <w:r>
        <w:rPr>
          <w:sz w:val="24"/>
          <w:szCs w:val="24"/>
        </w:rPr>
        <w:t>otstandsgesetzgebung zur Anwendung komm</w:t>
      </w:r>
      <w:r w:rsidR="009A33A9">
        <w:rPr>
          <w:sz w:val="24"/>
          <w:szCs w:val="24"/>
        </w:rPr>
        <w:t>en darf</w:t>
      </w:r>
      <w:r>
        <w:rPr>
          <w:sz w:val="24"/>
          <w:szCs w:val="24"/>
        </w:rPr>
        <w:t>.</w:t>
      </w:r>
      <w:r w:rsidR="00E37EFC">
        <w:rPr>
          <w:rStyle w:val="Funotenzeichen"/>
          <w:sz w:val="24"/>
          <w:szCs w:val="24"/>
        </w:rPr>
        <w:footnoteReference w:id="15"/>
      </w:r>
      <w:r w:rsidR="007139C8">
        <w:rPr>
          <w:sz w:val="24"/>
          <w:szCs w:val="24"/>
        </w:rPr>
        <w:t xml:space="preserve"> </w:t>
      </w:r>
      <w:r w:rsidR="004C40B4">
        <w:rPr>
          <w:sz w:val="24"/>
          <w:szCs w:val="24"/>
        </w:rPr>
        <w:t>Die Frage der Notwendi</w:t>
      </w:r>
      <w:r w:rsidR="004C40B4">
        <w:rPr>
          <w:sz w:val="24"/>
          <w:szCs w:val="24"/>
        </w:rPr>
        <w:t>g</w:t>
      </w:r>
      <w:r w:rsidR="004C40B4">
        <w:rPr>
          <w:sz w:val="24"/>
          <w:szCs w:val="24"/>
        </w:rPr>
        <w:t xml:space="preserve">keit und Zweckdienlichkeit der Handhabung des Ausnahmezustands ist </w:t>
      </w:r>
      <w:r w:rsidR="004C40B4" w:rsidRPr="004C40B4">
        <w:rPr>
          <w:i/>
          <w:sz w:val="24"/>
          <w:szCs w:val="24"/>
        </w:rPr>
        <w:t>nicht Gegenstand der gerichtlichen Nachprüfung</w:t>
      </w:r>
      <w:r w:rsidR="004C40B4">
        <w:rPr>
          <w:i/>
          <w:sz w:val="24"/>
          <w:szCs w:val="24"/>
        </w:rPr>
        <w:t>.</w:t>
      </w:r>
      <w:r w:rsidR="004C40B4">
        <w:rPr>
          <w:rStyle w:val="Funotenzeichen"/>
          <w:sz w:val="24"/>
          <w:szCs w:val="24"/>
        </w:rPr>
        <w:footnoteReference w:id="16"/>
      </w:r>
      <w:r w:rsidR="004C40B4">
        <w:rPr>
          <w:sz w:val="24"/>
          <w:szCs w:val="24"/>
        </w:rPr>
        <w:t xml:space="preserve"> Hier folgte die Justiz des Dritten Reiches der</w:t>
      </w:r>
      <w:r w:rsidR="007139C8">
        <w:rPr>
          <w:sz w:val="24"/>
          <w:szCs w:val="24"/>
        </w:rPr>
        <w:t xml:space="preserve"> Rechtsspr</w:t>
      </w:r>
      <w:r w:rsidR="007139C8">
        <w:rPr>
          <w:sz w:val="24"/>
          <w:szCs w:val="24"/>
        </w:rPr>
        <w:t>e</w:t>
      </w:r>
      <w:r w:rsidR="007139C8">
        <w:rPr>
          <w:sz w:val="24"/>
          <w:szCs w:val="24"/>
        </w:rPr>
        <w:t>chungspraxis der Weimarer Republik,</w:t>
      </w:r>
      <w:r w:rsidR="004C40B4">
        <w:rPr>
          <w:sz w:val="24"/>
          <w:szCs w:val="24"/>
        </w:rPr>
        <w:t xml:space="preserve"> die ihrerseits wiederum der bisherigen Tradition aus der Zeit der Monarchie folgte.</w:t>
      </w:r>
      <w:r w:rsidR="007139C8">
        <w:rPr>
          <w:sz w:val="24"/>
          <w:szCs w:val="24"/>
        </w:rPr>
        <w:t xml:space="preserve"> </w:t>
      </w:r>
      <w:r w:rsidR="004C40B4">
        <w:rPr>
          <w:sz w:val="24"/>
          <w:szCs w:val="24"/>
        </w:rPr>
        <w:t>I</w:t>
      </w:r>
      <w:r w:rsidR="007139C8">
        <w:rPr>
          <w:sz w:val="24"/>
          <w:szCs w:val="24"/>
        </w:rPr>
        <w:t xml:space="preserve">n der angelsächsischen </w:t>
      </w:r>
      <w:r w:rsidR="004C40B4">
        <w:rPr>
          <w:sz w:val="24"/>
          <w:szCs w:val="24"/>
        </w:rPr>
        <w:t>Rechtst</w:t>
      </w:r>
      <w:r w:rsidR="007139C8">
        <w:rPr>
          <w:sz w:val="24"/>
          <w:szCs w:val="24"/>
        </w:rPr>
        <w:t xml:space="preserve">radition </w:t>
      </w:r>
      <w:r w:rsidR="004C40B4">
        <w:rPr>
          <w:sz w:val="24"/>
          <w:szCs w:val="24"/>
        </w:rPr>
        <w:t>entscheide</w:t>
      </w:r>
      <w:r w:rsidR="009A33A9">
        <w:rPr>
          <w:sz w:val="24"/>
          <w:szCs w:val="24"/>
        </w:rPr>
        <w:t>n</w:t>
      </w:r>
      <w:r w:rsidR="004C40B4">
        <w:rPr>
          <w:sz w:val="24"/>
          <w:szCs w:val="24"/>
        </w:rPr>
        <w:t xml:space="preserve"> dagegen letztendlich </w:t>
      </w:r>
      <w:r w:rsidR="009A33A9">
        <w:rPr>
          <w:sz w:val="24"/>
          <w:szCs w:val="24"/>
        </w:rPr>
        <w:t>die</w:t>
      </w:r>
      <w:r w:rsidR="004C40B4">
        <w:rPr>
          <w:sz w:val="24"/>
          <w:szCs w:val="24"/>
        </w:rPr>
        <w:t xml:space="preserve"> Gericht</w:t>
      </w:r>
      <w:r w:rsidR="009A33A9">
        <w:rPr>
          <w:sz w:val="24"/>
          <w:szCs w:val="24"/>
        </w:rPr>
        <w:t>e</w:t>
      </w:r>
      <w:r w:rsidR="004C40B4">
        <w:rPr>
          <w:sz w:val="24"/>
          <w:szCs w:val="24"/>
        </w:rPr>
        <w:t xml:space="preserve"> über die Frage, ob </w:t>
      </w:r>
      <w:r w:rsidR="009A33A9">
        <w:rPr>
          <w:sz w:val="24"/>
          <w:szCs w:val="24"/>
        </w:rPr>
        <w:t>der</w:t>
      </w:r>
      <w:r w:rsidR="004C40B4">
        <w:rPr>
          <w:sz w:val="24"/>
          <w:szCs w:val="24"/>
        </w:rPr>
        <w:t xml:space="preserve"> Ausnahmezustand vorliegt oder nicht, also die entsprechende Gesetzgebung zur Anwendung kommen darf</w:t>
      </w:r>
      <w:r w:rsidR="007139C8">
        <w:rPr>
          <w:sz w:val="24"/>
          <w:szCs w:val="24"/>
        </w:rPr>
        <w:t>.</w:t>
      </w:r>
    </w:p>
    <w:p w:rsidR="00034084" w:rsidRDefault="00034084" w:rsidP="003E3BE1">
      <w:pPr>
        <w:spacing w:after="0"/>
        <w:ind w:firstLine="708"/>
        <w:jc w:val="both"/>
        <w:rPr>
          <w:sz w:val="24"/>
          <w:szCs w:val="24"/>
        </w:rPr>
      </w:pPr>
      <w:proofErr w:type="spellStart"/>
      <w:r w:rsidRPr="00034084">
        <w:rPr>
          <w:sz w:val="24"/>
          <w:szCs w:val="24"/>
        </w:rPr>
        <w:t>Fraenkel</w:t>
      </w:r>
      <w:proofErr w:type="spellEnd"/>
      <w:r w:rsidRPr="00034084">
        <w:rPr>
          <w:sz w:val="24"/>
          <w:szCs w:val="24"/>
        </w:rPr>
        <w:t xml:space="preserve"> führt </w:t>
      </w:r>
      <w:r>
        <w:rPr>
          <w:sz w:val="24"/>
          <w:szCs w:val="24"/>
        </w:rPr>
        <w:t xml:space="preserve">zum Thema des „rechtlichen Vakuums“ </w:t>
      </w:r>
      <w:r w:rsidRPr="00034084">
        <w:rPr>
          <w:sz w:val="24"/>
          <w:szCs w:val="24"/>
        </w:rPr>
        <w:t xml:space="preserve">auch Belege aus dem Bereich des Strafrechts und seiner Handhabung an: </w:t>
      </w:r>
    </w:p>
    <w:p w:rsidR="00034084" w:rsidRDefault="00034084" w:rsidP="003E3BE1">
      <w:pPr>
        <w:spacing w:after="0"/>
        <w:ind w:left="1134"/>
        <w:jc w:val="both"/>
        <w:rPr>
          <w:sz w:val="24"/>
          <w:szCs w:val="24"/>
        </w:rPr>
      </w:pPr>
      <w:r w:rsidRPr="00034084">
        <w:rPr>
          <w:sz w:val="24"/>
          <w:szCs w:val="24"/>
        </w:rPr>
        <w:t>„Im Bereich des Strafrechts sind politische Akte theoretisch noch immer nac</w:t>
      </w:r>
      <w:r w:rsidRPr="00034084">
        <w:rPr>
          <w:sz w:val="24"/>
          <w:szCs w:val="24"/>
        </w:rPr>
        <w:t>h</w:t>
      </w:r>
      <w:r w:rsidRPr="00034084">
        <w:rPr>
          <w:sz w:val="24"/>
          <w:szCs w:val="24"/>
        </w:rPr>
        <w:t>prüfbar. In der Praxis jedoch ist das Nachprüfungsrecht bedeutungslos, wie eine Entscheidung des Oberlandesgerichts München vom 4. November 1937 zeigt. Der Reichsinnenminister hatte (gestützt auf die Verordnung vom 28. Februar 1933) ein Verbot erlassen, das den Geistlichen bei Strafe untersagte, die Namen derjen</w:t>
      </w:r>
      <w:r w:rsidRPr="00034084">
        <w:rPr>
          <w:sz w:val="24"/>
          <w:szCs w:val="24"/>
        </w:rPr>
        <w:t>i</w:t>
      </w:r>
      <w:r w:rsidRPr="00034084">
        <w:rPr>
          <w:sz w:val="24"/>
          <w:szCs w:val="24"/>
        </w:rPr>
        <w:t>gen Gemeindemitglieder öffentlich bekannt zu geben, die aus der Kirche ausgetr</w:t>
      </w:r>
      <w:r w:rsidRPr="00034084">
        <w:rPr>
          <w:sz w:val="24"/>
          <w:szCs w:val="24"/>
        </w:rPr>
        <w:t>e</w:t>
      </w:r>
      <w:r w:rsidRPr="00034084">
        <w:rPr>
          <w:sz w:val="24"/>
          <w:szCs w:val="24"/>
        </w:rPr>
        <w:t xml:space="preserve">ten waren.“ </w:t>
      </w:r>
    </w:p>
    <w:p w:rsidR="00034084" w:rsidRDefault="00034084" w:rsidP="003E3BE1">
      <w:pPr>
        <w:spacing w:after="0"/>
        <w:jc w:val="both"/>
        <w:rPr>
          <w:sz w:val="24"/>
          <w:szCs w:val="24"/>
        </w:rPr>
      </w:pPr>
      <w:r w:rsidRPr="00034084">
        <w:rPr>
          <w:sz w:val="24"/>
          <w:szCs w:val="24"/>
        </w:rPr>
        <w:t>Diese</w:t>
      </w:r>
      <w:r w:rsidR="00B5782B">
        <w:rPr>
          <w:sz w:val="24"/>
          <w:szCs w:val="24"/>
        </w:rPr>
        <w:t xml:space="preserve"> Klage wurde abgewiesen, und zwar unter Hinweis auf die Reichstagsbrandverordnung und den hier formulierten Zweck, die „</w:t>
      </w:r>
      <w:r w:rsidRPr="00034084">
        <w:rPr>
          <w:sz w:val="24"/>
          <w:szCs w:val="24"/>
        </w:rPr>
        <w:t xml:space="preserve">Abwehr kommunistischer staatsgefährdender </w:t>
      </w:r>
      <w:r w:rsidRPr="00574893">
        <w:rPr>
          <w:sz w:val="24"/>
          <w:szCs w:val="24"/>
        </w:rPr>
        <w:t>Gewal</w:t>
      </w:r>
      <w:r w:rsidRPr="00574893">
        <w:rPr>
          <w:sz w:val="24"/>
          <w:szCs w:val="24"/>
        </w:rPr>
        <w:t>t</w:t>
      </w:r>
      <w:r w:rsidRPr="00574893">
        <w:rPr>
          <w:sz w:val="24"/>
          <w:szCs w:val="24"/>
        </w:rPr>
        <w:t>akte</w:t>
      </w:r>
      <w:r w:rsidR="00B5782B" w:rsidRPr="00574893">
        <w:rPr>
          <w:sz w:val="24"/>
          <w:szCs w:val="24"/>
        </w:rPr>
        <w:t>“.</w:t>
      </w:r>
      <w:r w:rsidR="00B5782B" w:rsidRPr="00574893">
        <w:rPr>
          <w:rStyle w:val="Funotenzeichen"/>
          <w:sz w:val="24"/>
          <w:szCs w:val="24"/>
        </w:rPr>
        <w:footnoteReference w:id="17"/>
      </w:r>
      <w:r w:rsidRPr="00574893">
        <w:rPr>
          <w:sz w:val="24"/>
          <w:szCs w:val="24"/>
        </w:rPr>
        <w:t xml:space="preserve"> </w:t>
      </w:r>
      <w:r w:rsidR="00574893">
        <w:rPr>
          <w:sz w:val="24"/>
          <w:szCs w:val="24"/>
        </w:rPr>
        <w:t xml:space="preserve">Der Kläger hatte damit argumentiert, dass </w:t>
      </w:r>
      <w:r w:rsidR="004C40B4">
        <w:rPr>
          <w:sz w:val="24"/>
          <w:szCs w:val="24"/>
        </w:rPr>
        <w:t>ein solches</w:t>
      </w:r>
      <w:r w:rsidR="00574893">
        <w:rPr>
          <w:sz w:val="24"/>
          <w:szCs w:val="24"/>
        </w:rPr>
        <w:t xml:space="preserve"> Verbot der kommunistische</w:t>
      </w:r>
      <w:r w:rsidR="004C40B4">
        <w:rPr>
          <w:sz w:val="24"/>
          <w:szCs w:val="24"/>
        </w:rPr>
        <w:t>n</w:t>
      </w:r>
      <w:r w:rsidR="00574893">
        <w:rPr>
          <w:sz w:val="24"/>
          <w:szCs w:val="24"/>
        </w:rPr>
        <w:t xml:space="preserve"> Propaganda möglicherweise sogar Vorschub leiste. </w:t>
      </w:r>
      <w:r w:rsidR="00574893" w:rsidRPr="00574893">
        <w:rPr>
          <w:sz w:val="24"/>
          <w:szCs w:val="24"/>
        </w:rPr>
        <w:t xml:space="preserve">– </w:t>
      </w:r>
      <w:proofErr w:type="spellStart"/>
      <w:r w:rsidR="00574893" w:rsidRPr="00574893">
        <w:rPr>
          <w:sz w:val="24"/>
          <w:szCs w:val="24"/>
        </w:rPr>
        <w:t>Fra</w:t>
      </w:r>
      <w:r w:rsidR="00574893">
        <w:rPr>
          <w:sz w:val="24"/>
          <w:szCs w:val="24"/>
        </w:rPr>
        <w:t>enkel</w:t>
      </w:r>
      <w:proofErr w:type="spellEnd"/>
      <w:r w:rsidR="00574893">
        <w:rPr>
          <w:sz w:val="24"/>
          <w:szCs w:val="24"/>
        </w:rPr>
        <w:t xml:space="preserve"> kommentiert dieses Urteil in folgender Weise:</w:t>
      </w:r>
    </w:p>
    <w:p w:rsidR="00574893" w:rsidRDefault="00574893" w:rsidP="003E3BE1">
      <w:pPr>
        <w:spacing w:after="0"/>
        <w:ind w:left="1134"/>
        <w:jc w:val="both"/>
        <w:rPr>
          <w:sz w:val="24"/>
          <w:szCs w:val="24"/>
        </w:rPr>
      </w:pPr>
      <w:r>
        <w:rPr>
          <w:sz w:val="24"/>
          <w:szCs w:val="24"/>
        </w:rPr>
        <w:lastRenderedPageBreak/>
        <w:t>„Als Begründung für seine Entscheidung führte das Gericht an, die Präambel sei kein Teil der rechtlichen Bestimmungen der Verordnung. Sie beziehe sich auf ‚a</w:t>
      </w:r>
      <w:r>
        <w:rPr>
          <w:sz w:val="24"/>
          <w:szCs w:val="24"/>
        </w:rPr>
        <w:t>l</w:t>
      </w:r>
      <w:r>
        <w:rPr>
          <w:sz w:val="24"/>
          <w:szCs w:val="24"/>
        </w:rPr>
        <w:t xml:space="preserve">le Tatbestände, so </w:t>
      </w:r>
      <w:proofErr w:type="spellStart"/>
      <w:r>
        <w:rPr>
          <w:sz w:val="24"/>
          <w:szCs w:val="24"/>
        </w:rPr>
        <w:t>daß</w:t>
      </w:r>
      <w:proofErr w:type="spellEnd"/>
      <w:r>
        <w:rPr>
          <w:sz w:val="24"/>
          <w:szCs w:val="24"/>
        </w:rPr>
        <w:t xml:space="preserve"> alle zur Wiederherstellung der öffentlichen Sicherheit und Ordnung nötigen Maßnahmen zulässig sind, ohne </w:t>
      </w:r>
      <w:proofErr w:type="spellStart"/>
      <w:r>
        <w:rPr>
          <w:sz w:val="24"/>
          <w:szCs w:val="24"/>
        </w:rPr>
        <w:t>daß</w:t>
      </w:r>
      <w:proofErr w:type="spellEnd"/>
      <w:r>
        <w:rPr>
          <w:sz w:val="24"/>
          <w:szCs w:val="24"/>
        </w:rPr>
        <w:t xml:space="preserve"> es darauf ankommt, von welcher Seite eine Störung dieser Sicherheit und Ordnung droht‘.“</w:t>
      </w:r>
      <w:r>
        <w:rPr>
          <w:rStyle w:val="Funotenzeichen"/>
          <w:sz w:val="24"/>
          <w:szCs w:val="24"/>
        </w:rPr>
        <w:footnoteReference w:id="18"/>
      </w:r>
      <w:r>
        <w:rPr>
          <w:sz w:val="24"/>
          <w:szCs w:val="24"/>
        </w:rPr>
        <w:t xml:space="preserve"> </w:t>
      </w:r>
    </w:p>
    <w:p w:rsidR="00574893" w:rsidRPr="00574893" w:rsidRDefault="00574893" w:rsidP="003E3BE1">
      <w:pPr>
        <w:spacing w:after="0"/>
        <w:jc w:val="both"/>
        <w:rPr>
          <w:sz w:val="24"/>
          <w:szCs w:val="24"/>
        </w:rPr>
      </w:pPr>
      <w:r>
        <w:rPr>
          <w:sz w:val="24"/>
          <w:szCs w:val="24"/>
        </w:rPr>
        <w:t xml:space="preserve">Das Gericht zögerte auch nicht, sich bei dieser Entscheidung auf die Weimarer Verfassung zu berufen. Auch dieses Vorgehen wird von </w:t>
      </w:r>
      <w:proofErr w:type="spellStart"/>
      <w:r>
        <w:rPr>
          <w:sz w:val="24"/>
          <w:szCs w:val="24"/>
        </w:rPr>
        <w:t>Fraenkel</w:t>
      </w:r>
      <w:proofErr w:type="spellEnd"/>
      <w:r>
        <w:rPr>
          <w:sz w:val="24"/>
          <w:szCs w:val="24"/>
        </w:rPr>
        <w:t xml:space="preserve"> kommentiert:</w:t>
      </w:r>
    </w:p>
    <w:p w:rsidR="00574893" w:rsidRPr="0038007E" w:rsidRDefault="00574893" w:rsidP="003E3BE1">
      <w:pPr>
        <w:spacing w:after="0"/>
        <w:ind w:left="1134"/>
        <w:jc w:val="both"/>
        <w:rPr>
          <w:sz w:val="24"/>
          <w:szCs w:val="24"/>
        </w:rPr>
      </w:pPr>
      <w:r>
        <w:rPr>
          <w:sz w:val="24"/>
          <w:szCs w:val="24"/>
        </w:rPr>
        <w:t>„</w:t>
      </w:r>
      <w:proofErr w:type="spellStart"/>
      <w:r>
        <w:rPr>
          <w:sz w:val="24"/>
          <w:szCs w:val="24"/>
        </w:rPr>
        <w:t>Gewiß</w:t>
      </w:r>
      <w:proofErr w:type="spellEnd"/>
      <w:r>
        <w:rPr>
          <w:sz w:val="24"/>
          <w:szCs w:val="24"/>
        </w:rPr>
        <w:t xml:space="preserve"> – das Gericht hat in dem vorliegenden Fall versucht, die Bestrafung der angeklagten Geistlichen verfassungsrechtlich zu rechtfertigen; die Entscheidung zeigt jedoch, </w:t>
      </w:r>
      <w:proofErr w:type="spellStart"/>
      <w:r>
        <w:rPr>
          <w:sz w:val="24"/>
          <w:szCs w:val="24"/>
        </w:rPr>
        <w:t>daß</w:t>
      </w:r>
      <w:proofErr w:type="spellEnd"/>
      <w:r>
        <w:rPr>
          <w:sz w:val="24"/>
          <w:szCs w:val="24"/>
        </w:rPr>
        <w:t xml:space="preserve"> der letzte Rest des richterlichen Nachprüfungsrechts, das zum mindesten theoretisch noch für das Strafrecht gilt, im Maßnahmenstaat ‚zu innerer Unwahrheit‘ herabgesunken ist.“</w:t>
      </w:r>
      <w:r>
        <w:rPr>
          <w:rStyle w:val="Funotenzeichen"/>
          <w:sz w:val="24"/>
          <w:szCs w:val="24"/>
        </w:rPr>
        <w:footnoteReference w:id="19"/>
      </w:r>
    </w:p>
    <w:p w:rsidR="00574893" w:rsidRPr="0038007E" w:rsidRDefault="009C4E1B" w:rsidP="003E3BE1">
      <w:pPr>
        <w:spacing w:after="0"/>
        <w:jc w:val="both"/>
        <w:rPr>
          <w:sz w:val="24"/>
          <w:szCs w:val="24"/>
        </w:rPr>
      </w:pPr>
      <w:r>
        <w:rPr>
          <w:sz w:val="24"/>
          <w:szCs w:val="24"/>
        </w:rPr>
        <w:t xml:space="preserve">Dieser Sachverhalt wurde auch von den nationalsozialistischen Juristen erkannt. </w:t>
      </w:r>
      <w:r w:rsidR="00574893">
        <w:rPr>
          <w:sz w:val="24"/>
          <w:szCs w:val="24"/>
        </w:rPr>
        <w:t>Der Justitiar der Gestapo, Werner Best, schl</w:t>
      </w:r>
      <w:r>
        <w:rPr>
          <w:sz w:val="24"/>
          <w:szCs w:val="24"/>
        </w:rPr>
        <w:t>ug</w:t>
      </w:r>
      <w:r w:rsidR="00574893">
        <w:rPr>
          <w:sz w:val="24"/>
          <w:szCs w:val="24"/>
        </w:rPr>
        <w:t xml:space="preserve"> deshalb vor, </w:t>
      </w:r>
      <w:r>
        <w:rPr>
          <w:sz w:val="24"/>
          <w:szCs w:val="24"/>
        </w:rPr>
        <w:t>„</w:t>
      </w:r>
      <w:r w:rsidR="00574893">
        <w:rPr>
          <w:sz w:val="24"/>
          <w:szCs w:val="24"/>
        </w:rPr>
        <w:t>die Kontrollbefugnis der Justiz auch für das Gebiet des Strafrechts auszuschließen.“</w:t>
      </w:r>
      <w:r>
        <w:rPr>
          <w:rStyle w:val="Funotenzeichen"/>
          <w:sz w:val="24"/>
          <w:szCs w:val="24"/>
        </w:rPr>
        <w:footnoteReference w:id="20"/>
      </w:r>
      <w:r w:rsidR="009A33A9">
        <w:rPr>
          <w:sz w:val="24"/>
          <w:szCs w:val="24"/>
        </w:rPr>
        <w:t xml:space="preserve"> – Dass das Recht im „Maßnahmenstaat“ zur „inn</w:t>
      </w:r>
      <w:r w:rsidR="009A33A9">
        <w:rPr>
          <w:sz w:val="24"/>
          <w:szCs w:val="24"/>
        </w:rPr>
        <w:t>e</w:t>
      </w:r>
      <w:r w:rsidR="009A33A9">
        <w:rPr>
          <w:sz w:val="24"/>
          <w:szCs w:val="24"/>
        </w:rPr>
        <w:t>ren Unwahrheit“ herabgesunken ist, also ein systematischer Widerspruch zwischen dem äuß</w:t>
      </w:r>
      <w:r w:rsidR="009A33A9">
        <w:rPr>
          <w:sz w:val="24"/>
          <w:szCs w:val="24"/>
        </w:rPr>
        <w:t>e</w:t>
      </w:r>
      <w:r w:rsidR="009A33A9">
        <w:rPr>
          <w:sz w:val="24"/>
          <w:szCs w:val="24"/>
        </w:rPr>
        <w:t>ren Anspruch, dass der Rechtsstaat fortbesteht, und der tatsächlichen Rechtswirklichkeit b</w:t>
      </w:r>
      <w:r w:rsidR="009A33A9">
        <w:rPr>
          <w:sz w:val="24"/>
          <w:szCs w:val="24"/>
        </w:rPr>
        <w:t>e</w:t>
      </w:r>
      <w:r w:rsidR="009A33A9">
        <w:rPr>
          <w:sz w:val="24"/>
          <w:szCs w:val="24"/>
        </w:rPr>
        <w:t xml:space="preserve">steht, ist eine Erkenntnis, </w:t>
      </w:r>
      <w:r w:rsidR="00E37EFC">
        <w:rPr>
          <w:sz w:val="24"/>
          <w:szCs w:val="24"/>
        </w:rPr>
        <w:t xml:space="preserve">die </w:t>
      </w:r>
      <w:r w:rsidR="003E1BFC">
        <w:rPr>
          <w:sz w:val="24"/>
          <w:szCs w:val="24"/>
        </w:rPr>
        <w:t>die</w:t>
      </w:r>
      <w:r w:rsidR="00E37EFC">
        <w:rPr>
          <w:sz w:val="24"/>
          <w:szCs w:val="24"/>
        </w:rPr>
        <w:t xml:space="preserve"> Fehleinschätzungen der nationalsozialistischen Diktatur </w:t>
      </w:r>
      <w:r w:rsidR="003E1BFC">
        <w:rPr>
          <w:sz w:val="24"/>
          <w:szCs w:val="24"/>
        </w:rPr>
        <w:t>se</w:t>
      </w:r>
      <w:r w:rsidR="003E1BFC">
        <w:rPr>
          <w:sz w:val="24"/>
          <w:szCs w:val="24"/>
        </w:rPr>
        <w:t>i</w:t>
      </w:r>
      <w:r w:rsidR="003E1BFC">
        <w:rPr>
          <w:sz w:val="24"/>
          <w:szCs w:val="24"/>
        </w:rPr>
        <w:t xml:space="preserve">tens der deutsch-jüdischen Bevölkerungsgruppe </w:t>
      </w:r>
      <w:r w:rsidR="00E37EFC">
        <w:rPr>
          <w:sz w:val="24"/>
          <w:szCs w:val="24"/>
        </w:rPr>
        <w:t>zumindest teilweise erklärt</w:t>
      </w:r>
      <w:r w:rsidR="003E1BFC">
        <w:rPr>
          <w:sz w:val="24"/>
          <w:szCs w:val="24"/>
        </w:rPr>
        <w:t>, ebenso natürlich auch das indifferente Reagieren von großen Teilen des Bürgertums:</w:t>
      </w:r>
      <w:r w:rsidR="00E37EFC">
        <w:rPr>
          <w:sz w:val="24"/>
          <w:szCs w:val="24"/>
        </w:rPr>
        <w:t xml:space="preserve"> Der Schein des formell weiterbestehenden Rechtsstaates täuschte darüber hinweg, dass in Wahrheit das Recht nicht mehr bestand.</w:t>
      </w:r>
      <w:bookmarkEnd w:id="0"/>
    </w:p>
    <w:sectPr w:rsidR="00574893" w:rsidRPr="0038007E" w:rsidSect="0073103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50" w:rsidRDefault="009F6350" w:rsidP="003D3744">
      <w:pPr>
        <w:spacing w:after="0" w:line="240" w:lineRule="auto"/>
      </w:pPr>
      <w:r>
        <w:separator/>
      </w:r>
    </w:p>
  </w:endnote>
  <w:endnote w:type="continuationSeparator" w:id="0">
    <w:p w:rsidR="009F6350" w:rsidRDefault="009F6350" w:rsidP="003D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50" w:rsidRDefault="009F6350" w:rsidP="003D3744">
      <w:pPr>
        <w:spacing w:after="0" w:line="240" w:lineRule="auto"/>
      </w:pPr>
      <w:r>
        <w:separator/>
      </w:r>
    </w:p>
  </w:footnote>
  <w:footnote w:type="continuationSeparator" w:id="0">
    <w:p w:rsidR="009F6350" w:rsidRDefault="009F6350" w:rsidP="003D3744">
      <w:pPr>
        <w:spacing w:after="0" w:line="240" w:lineRule="auto"/>
      </w:pPr>
      <w:r>
        <w:continuationSeparator/>
      </w:r>
    </w:p>
  </w:footnote>
  <w:footnote w:id="1">
    <w:p w:rsidR="00606750" w:rsidRPr="006118C5" w:rsidRDefault="00606750" w:rsidP="003D3744">
      <w:pPr>
        <w:pStyle w:val="Funotentext"/>
      </w:pPr>
      <w:r>
        <w:rPr>
          <w:rStyle w:val="Funotenzeichen"/>
        </w:rPr>
        <w:footnoteRef/>
      </w:r>
      <w:r>
        <w:t xml:space="preserve"> Ludolf Herbst: </w:t>
      </w:r>
      <w:r>
        <w:rPr>
          <w:i/>
        </w:rPr>
        <w:t>Das nationalsozialistische Deutschland,</w:t>
      </w:r>
      <w:r>
        <w:t xml:space="preserve"> S. 150 f.</w:t>
      </w:r>
    </w:p>
  </w:footnote>
  <w:footnote w:id="2">
    <w:p w:rsidR="00606750" w:rsidRPr="00995775" w:rsidRDefault="00606750">
      <w:pPr>
        <w:pStyle w:val="Funotentext"/>
      </w:pPr>
      <w:r>
        <w:rPr>
          <w:rStyle w:val="Funotenzeichen"/>
        </w:rPr>
        <w:footnoteRef/>
      </w:r>
      <w:r>
        <w:t xml:space="preserve"> Vgl. </w:t>
      </w:r>
      <w:proofErr w:type="spellStart"/>
      <w:r>
        <w:t>Avraham</w:t>
      </w:r>
      <w:proofErr w:type="spellEnd"/>
      <w:r>
        <w:t xml:space="preserve"> </w:t>
      </w:r>
      <w:proofErr w:type="spellStart"/>
      <w:r>
        <w:t>Barkai</w:t>
      </w:r>
      <w:proofErr w:type="spellEnd"/>
      <w:r>
        <w:t xml:space="preserve">: </w:t>
      </w:r>
      <w:r w:rsidRPr="006118C5">
        <w:rPr>
          <w:i/>
        </w:rPr>
        <w:t>„Wehr Dich!“</w:t>
      </w:r>
      <w:r>
        <w:rPr>
          <w:i/>
        </w:rPr>
        <w:t>,</w:t>
      </w:r>
      <w:r>
        <w:t xml:space="preserve"> a.a.O., S. 352 ff., Saul Friedländer: </w:t>
      </w:r>
      <w:r>
        <w:rPr>
          <w:i/>
        </w:rPr>
        <w:t xml:space="preserve">Das Dritte Reich und die Juden, </w:t>
      </w:r>
      <w:r w:rsidRPr="00995775">
        <w:t>Bd. 1, a.a.O., 185 ff.</w:t>
      </w:r>
      <w:r>
        <w:t xml:space="preserve"> – Völlig anders beurteilte Heinrich Mann die Entwicklung. Er beginnt seinen Aufsatz „Die Deutschen und ihre Juden“ vom Dezember 1935 mit den Worten: „Die deutschen Juden werden </w:t>
      </w:r>
      <w:proofErr w:type="spellStart"/>
      <w:r>
        <w:t>planmässig</w:t>
      </w:r>
      <w:proofErr w:type="spellEnd"/>
      <w:r>
        <w:t xml:space="preserve"> vernichtet, daran ist nicht mehr zu zweifeln.“ Auch er nimmt Bezug auf den irrigen Glauben eines Teils der älteren Generation, man „lebe[n] doch in einem Rechtsstaat“. Für Heinrich Mann ist jedoch evident, dass mit den Nürnberger Gesetzen eine völlig andere Situation eingetreten sei: „Es ist erwiesen, dass das nationalsozialist</w:t>
      </w:r>
      <w:r>
        <w:t>i</w:t>
      </w:r>
      <w:r>
        <w:t>sche Interesse über dem Gesetz steht und dass es Gesetze macht. Recht ist inzwischen geworden, was ‚dem deu</w:t>
      </w:r>
      <w:r>
        <w:t>t</w:t>
      </w:r>
      <w:r>
        <w:t xml:space="preserve">schen Volke nützt‘, auch das Bösartigste, auch das Infamste.“ (In: Heinrich Mann: </w:t>
      </w:r>
      <w:r>
        <w:rPr>
          <w:i/>
        </w:rPr>
        <w:t>Essays und Publizistik.</w:t>
      </w:r>
      <w:r>
        <w:t xml:space="preserve"> Krit</w:t>
      </w:r>
      <w:r>
        <w:t>i</w:t>
      </w:r>
      <w:r>
        <w:t xml:space="preserve">sche Gesamtausgabe. Bd. 6: </w:t>
      </w:r>
      <w:r>
        <w:rPr>
          <w:i/>
        </w:rPr>
        <w:t>Februar 1933 bis 1935.</w:t>
      </w:r>
      <w:r>
        <w:t xml:space="preserve"> Teil 1: </w:t>
      </w:r>
      <w:r>
        <w:rPr>
          <w:i/>
        </w:rPr>
        <w:t>Texte</w:t>
      </w:r>
      <w:r>
        <w:t>. Hrsg. von Wolfgang Klein. Bielefeld 2009, S. 628 Der Aufsatz erschien in der</w:t>
      </w:r>
      <w:r>
        <w:rPr>
          <w:i/>
        </w:rPr>
        <w:t xml:space="preserve"> Neue Weltbühne</w:t>
      </w:r>
      <w:r>
        <w:t xml:space="preserve"> 31, Nr. 49, 5. Dez. 1935, S. 1532 -1536. </w:t>
      </w:r>
    </w:p>
  </w:footnote>
  <w:footnote w:id="3">
    <w:p w:rsidR="00606750" w:rsidRPr="0056095F" w:rsidRDefault="00606750">
      <w:pPr>
        <w:pStyle w:val="Funotentext"/>
      </w:pPr>
      <w:r>
        <w:rPr>
          <w:rStyle w:val="Funotenzeichen"/>
        </w:rPr>
        <w:footnoteRef/>
      </w:r>
      <w:r>
        <w:t xml:space="preserve"> Zitiert bei Saul Friedländer: </w:t>
      </w:r>
      <w:r>
        <w:rPr>
          <w:i/>
        </w:rPr>
        <w:t>Das Dritte Reich,</w:t>
      </w:r>
      <w:r>
        <w:t xml:space="preserve"> Bd. 1, S. 185. Der ultrareligiöse Teil der jüdischen Gemeinschaft begrüßte sogar die neue Lage.</w:t>
      </w:r>
    </w:p>
  </w:footnote>
  <w:footnote w:id="4">
    <w:p w:rsidR="00606750" w:rsidRPr="006118C5" w:rsidRDefault="00606750" w:rsidP="003D3744">
      <w:pPr>
        <w:pStyle w:val="Funotentext"/>
      </w:pPr>
      <w:r>
        <w:rPr>
          <w:rStyle w:val="Funotenzeichen"/>
        </w:rPr>
        <w:footnoteRef/>
      </w:r>
      <w:r>
        <w:t xml:space="preserve"> Bezeichnend sind die politischen Stellungnahmen des CV; vgl. hierzu </w:t>
      </w:r>
      <w:proofErr w:type="spellStart"/>
      <w:r>
        <w:t>Avraham</w:t>
      </w:r>
      <w:proofErr w:type="spellEnd"/>
      <w:r>
        <w:t xml:space="preserve"> </w:t>
      </w:r>
      <w:proofErr w:type="spellStart"/>
      <w:r>
        <w:t>Barkai</w:t>
      </w:r>
      <w:proofErr w:type="spellEnd"/>
      <w:r>
        <w:t xml:space="preserve">: </w:t>
      </w:r>
      <w:r w:rsidRPr="006118C5">
        <w:rPr>
          <w:i/>
        </w:rPr>
        <w:t>„Wehr Dich!“</w:t>
      </w:r>
      <w:r>
        <w:rPr>
          <w:i/>
        </w:rPr>
        <w:t>,</w:t>
      </w:r>
      <w:r>
        <w:t xml:space="preserve"> a.a.O., S. 288, 292 (Empfehlung, bei der Volksabstimmung über den Austritt aus dem Völkerbund mit „Ja“ zu stimmen) u. 293 f.</w:t>
      </w:r>
    </w:p>
  </w:footnote>
  <w:footnote w:id="5">
    <w:p w:rsidR="00606750" w:rsidRDefault="00606750" w:rsidP="00BC15BF">
      <w:pPr>
        <w:spacing w:after="0" w:line="240" w:lineRule="auto"/>
      </w:pPr>
      <w:r>
        <w:rPr>
          <w:rStyle w:val="Funotenzeichen"/>
        </w:rPr>
        <w:footnoteRef/>
      </w:r>
      <w:r>
        <w:t xml:space="preserve"> Ernst </w:t>
      </w:r>
      <w:proofErr w:type="spellStart"/>
      <w:r>
        <w:t>Fraenkel</w:t>
      </w:r>
      <w:proofErr w:type="spellEnd"/>
      <w:r>
        <w:t xml:space="preserve">: </w:t>
      </w:r>
      <w:r w:rsidRPr="00C46845">
        <w:rPr>
          <w:i/>
        </w:rPr>
        <w:t>Der Doppelstaat</w:t>
      </w:r>
      <w:r>
        <w:t>. Recht und Justiz im ‚Dritten Reich‘. Frankfurt a.M. 1984 (= Fischer T</w:t>
      </w:r>
      <w:r>
        <w:t>a</w:t>
      </w:r>
      <w:r>
        <w:t>schenbuch. Bd. 4305), S. 13.</w:t>
      </w:r>
    </w:p>
  </w:footnote>
  <w:footnote w:id="6">
    <w:p w:rsidR="00606750" w:rsidRPr="009D7CD4" w:rsidRDefault="00606750">
      <w:pPr>
        <w:pStyle w:val="Funotentext"/>
      </w:pPr>
      <w:r>
        <w:rPr>
          <w:rStyle w:val="Funotenzeichen"/>
        </w:rPr>
        <w:footnoteRef/>
      </w:r>
      <w:r>
        <w:t xml:space="preserve"> Ernst </w:t>
      </w:r>
      <w:proofErr w:type="spellStart"/>
      <w:r>
        <w:t>Fraenkel</w:t>
      </w:r>
      <w:proofErr w:type="spellEnd"/>
      <w:r>
        <w:t xml:space="preserve"> wurde 1898 als Sohn einer jüdischen Kaufmannsfamilie in Köln geboren. Als 18-Jähriger wurde er zum Frontdienst eingezogen. Nach Ende des Krieges studierte er Jura und Geschichtswissenschaft. Er war befreundet mit Franz Neumann und Leo Löwenthal, mit denen zusammen er eine Sozialistische Studentengruppe gründete. 1921 Eintritt in die SPD, 1923 Promotion </w:t>
      </w:r>
      <w:r w:rsidRPr="00612FE9">
        <w:rPr>
          <w:rFonts w:eastAsia="Times New Roman" w:cs="Times New Roman"/>
          <w:lang w:eastAsia="de-DE"/>
        </w:rPr>
        <w:t xml:space="preserve">bei </w:t>
      </w:r>
      <w:r>
        <w:rPr>
          <w:rFonts w:eastAsia="Times New Roman" w:cs="Times New Roman"/>
          <w:lang w:eastAsia="de-DE"/>
        </w:rPr>
        <w:t xml:space="preserve">Hugo </w:t>
      </w:r>
      <w:proofErr w:type="spellStart"/>
      <w:r w:rsidRPr="00612FE9">
        <w:rPr>
          <w:rFonts w:eastAsia="Times New Roman" w:cs="Times New Roman"/>
          <w:lang w:eastAsia="de-DE"/>
        </w:rPr>
        <w:t>Sinzheimer</w:t>
      </w:r>
      <w:proofErr w:type="spellEnd"/>
      <w:r>
        <w:rPr>
          <w:rFonts w:eastAsia="Times New Roman" w:cs="Times New Roman"/>
          <w:lang w:eastAsia="de-DE"/>
        </w:rPr>
        <w:t xml:space="preserve">, 1925 </w:t>
      </w:r>
      <w:proofErr w:type="spellStart"/>
      <w:r>
        <w:rPr>
          <w:rFonts w:eastAsia="Times New Roman" w:cs="Times New Roman"/>
          <w:lang w:eastAsia="de-DE"/>
        </w:rPr>
        <w:t>Assessorexamen</w:t>
      </w:r>
      <w:proofErr w:type="spellEnd"/>
      <w:r>
        <w:rPr>
          <w:rFonts w:eastAsia="Times New Roman" w:cs="Times New Roman"/>
          <w:lang w:eastAsia="de-DE"/>
        </w:rPr>
        <w:t>, danach Ni</w:t>
      </w:r>
      <w:r>
        <w:rPr>
          <w:rFonts w:eastAsia="Times New Roman" w:cs="Times New Roman"/>
          <w:lang w:eastAsia="de-DE"/>
        </w:rPr>
        <w:t>e</w:t>
      </w:r>
      <w:r>
        <w:rPr>
          <w:rFonts w:eastAsia="Times New Roman" w:cs="Times New Roman"/>
          <w:lang w:eastAsia="de-DE"/>
        </w:rPr>
        <w:t>derlassung als Rechtsanwalt. Syndikus des Deutschen Metallarbeiterverbandes und Rechtsberatung des SPD-Parteivorstandes; Mitglied des Internationalen Sozialistischen Kampfbundes (ISK). – Bis 1938 Widerstandsa</w:t>
      </w:r>
      <w:r>
        <w:rPr>
          <w:rFonts w:eastAsia="Times New Roman" w:cs="Times New Roman"/>
          <w:lang w:eastAsia="de-DE"/>
        </w:rPr>
        <w:t>r</w:t>
      </w:r>
      <w:r>
        <w:rPr>
          <w:rFonts w:eastAsia="Times New Roman" w:cs="Times New Roman"/>
          <w:lang w:eastAsia="de-DE"/>
        </w:rPr>
        <w:t xml:space="preserve">beit in Deutschland. Im September 1938 Flucht in die USA, dort erneut Studium der Rechtswissenschaft, u.a. Dozent an der New School </w:t>
      </w:r>
      <w:proofErr w:type="spellStart"/>
      <w:r>
        <w:rPr>
          <w:rFonts w:eastAsia="Times New Roman" w:cs="Times New Roman"/>
          <w:lang w:eastAsia="de-DE"/>
        </w:rPr>
        <w:t>of</w:t>
      </w:r>
      <w:proofErr w:type="spellEnd"/>
      <w:r>
        <w:rPr>
          <w:rFonts w:eastAsia="Times New Roman" w:cs="Times New Roman"/>
          <w:lang w:eastAsia="de-DE"/>
        </w:rPr>
        <w:t xml:space="preserve"> </w:t>
      </w:r>
      <w:proofErr w:type="spellStart"/>
      <w:r>
        <w:rPr>
          <w:rFonts w:eastAsia="Times New Roman" w:cs="Times New Roman"/>
          <w:lang w:eastAsia="de-DE"/>
        </w:rPr>
        <w:t>Social</w:t>
      </w:r>
      <w:proofErr w:type="spellEnd"/>
      <w:r>
        <w:rPr>
          <w:rFonts w:eastAsia="Times New Roman" w:cs="Times New Roman"/>
          <w:lang w:eastAsia="de-DE"/>
        </w:rPr>
        <w:t xml:space="preserve"> Research in New York, 1944 – 1951 juristischer Berater im US-amerikanischen Staatsdienst, 1951 Rückkehr nach Deutschland auf Drängen von Otto Suhr; </w:t>
      </w:r>
      <w:r w:rsidRPr="004E1404">
        <w:rPr>
          <w:rFonts w:eastAsia="Times New Roman" w:cs="Times New Roman"/>
          <w:lang w:eastAsia="de-DE"/>
        </w:rPr>
        <w:t>1953-1967 Professor für Politologie (Vergleichende Lehre der Herrschaftssysteme) an der Freien Universität</w:t>
      </w:r>
      <w:r>
        <w:rPr>
          <w:rFonts w:eastAsia="Times New Roman" w:cs="Times New Roman"/>
          <w:lang w:eastAsia="de-DE"/>
        </w:rPr>
        <w:t xml:space="preserve">. – Ernst </w:t>
      </w:r>
      <w:proofErr w:type="spellStart"/>
      <w:r>
        <w:rPr>
          <w:rFonts w:eastAsia="Times New Roman" w:cs="Times New Roman"/>
          <w:lang w:eastAsia="de-DE"/>
        </w:rPr>
        <w:t>Fraenkel</w:t>
      </w:r>
      <w:proofErr w:type="spellEnd"/>
      <w:r>
        <w:rPr>
          <w:rFonts w:eastAsia="Times New Roman" w:cs="Times New Roman"/>
          <w:lang w:eastAsia="de-DE"/>
        </w:rPr>
        <w:t xml:space="preserve"> starb am 28. März 1975 in Berlin. – Vgl. </w:t>
      </w:r>
      <w:r>
        <w:rPr>
          <w:rFonts w:eastAsia="Times New Roman" w:cs="Times New Roman"/>
          <w:i/>
          <w:lang w:eastAsia="de-DE"/>
        </w:rPr>
        <w:t>Biographisches Handbuch</w:t>
      </w:r>
      <w:r>
        <w:rPr>
          <w:rFonts w:eastAsia="Times New Roman" w:cs="Times New Roman"/>
          <w:lang w:eastAsia="de-DE"/>
        </w:rPr>
        <w:t>, Bd. 2, S. 312 f.</w:t>
      </w:r>
    </w:p>
  </w:footnote>
  <w:footnote w:id="7">
    <w:p w:rsidR="00606750" w:rsidRDefault="00606750">
      <w:pPr>
        <w:pStyle w:val="Funotentext"/>
      </w:pPr>
      <w:r>
        <w:rPr>
          <w:rStyle w:val="Funotenzeichen"/>
        </w:rPr>
        <w:footnoteRef/>
      </w:r>
      <w:r>
        <w:t xml:space="preserve"> Ebd.</w:t>
      </w:r>
    </w:p>
  </w:footnote>
  <w:footnote w:id="8">
    <w:p w:rsidR="00606750" w:rsidRPr="00076C25" w:rsidRDefault="00606750">
      <w:pPr>
        <w:pStyle w:val="Funotentext"/>
      </w:pPr>
      <w:r>
        <w:rPr>
          <w:rStyle w:val="Funotenzeichen"/>
        </w:rPr>
        <w:footnoteRef/>
      </w:r>
      <w:r>
        <w:t xml:space="preserve"> Ludolf Herbst: </w:t>
      </w:r>
      <w:r>
        <w:rPr>
          <w:i/>
        </w:rPr>
        <w:t>Das nationalsozialistische Deutschland,</w:t>
      </w:r>
      <w:r>
        <w:t xml:space="preserve"> S. 64.</w:t>
      </w:r>
    </w:p>
  </w:footnote>
  <w:footnote w:id="9">
    <w:p w:rsidR="00606750" w:rsidRPr="00F31EDA" w:rsidRDefault="00606750">
      <w:pPr>
        <w:pStyle w:val="Funotentext"/>
      </w:pPr>
      <w:r>
        <w:rPr>
          <w:rStyle w:val="Funotenzeichen"/>
        </w:rPr>
        <w:footnoteRef/>
      </w:r>
      <w:r>
        <w:t xml:space="preserve"> </w:t>
      </w:r>
      <w:proofErr w:type="spellStart"/>
      <w:r>
        <w:t>Fraenkel</w:t>
      </w:r>
      <w:proofErr w:type="spellEnd"/>
      <w:r>
        <w:t xml:space="preserve">: </w:t>
      </w:r>
      <w:r>
        <w:rPr>
          <w:i/>
        </w:rPr>
        <w:t>Doppelstaat</w:t>
      </w:r>
      <w:r>
        <w:t>, S. 27; Hervorhebung – F. T.</w:t>
      </w:r>
    </w:p>
  </w:footnote>
  <w:footnote w:id="10">
    <w:p w:rsidR="00606750" w:rsidRDefault="00606750">
      <w:pPr>
        <w:pStyle w:val="Funotentext"/>
      </w:pPr>
      <w:r>
        <w:rPr>
          <w:rStyle w:val="Funotenzeichen"/>
        </w:rPr>
        <w:footnoteRef/>
      </w:r>
      <w:r>
        <w:t xml:space="preserve"> Ebd., S. 28; Hervorhebung – F.T. – Der Begriff der „souveränen Diktatur“ charakterisiert in prägnanter Form ein spezifisches Moment der nationalsozialistischen Diktatur. Der Reichskanzler besitzt eine Stellung, die der des Souveräns in der absoluten Monarchie gleicht.</w:t>
      </w:r>
    </w:p>
  </w:footnote>
  <w:footnote w:id="11">
    <w:p w:rsidR="00606750" w:rsidRDefault="00606750" w:rsidP="00483874">
      <w:pPr>
        <w:spacing w:after="0" w:line="240" w:lineRule="auto"/>
      </w:pPr>
      <w:r>
        <w:rPr>
          <w:rStyle w:val="Funotenzeichen"/>
        </w:rPr>
        <w:footnoteRef/>
      </w:r>
      <w:r>
        <w:t xml:space="preserve"> Michael Wildt: Die politische Ordnung der Volksgemeinschaft. Ernst </w:t>
      </w:r>
      <w:proofErr w:type="spellStart"/>
      <w:r>
        <w:t>Fraenkels</w:t>
      </w:r>
      <w:proofErr w:type="spellEnd"/>
      <w:r>
        <w:t xml:space="preserve"> „Doppelstaat“ neu betrachtet. – In: </w:t>
      </w:r>
      <w:r>
        <w:rPr>
          <w:i/>
        </w:rPr>
        <w:t>Mittelweg 36</w:t>
      </w:r>
      <w:r>
        <w:t>, 12. Jg. (2003), H. 2, S. 45-61, hier S. 51 f.</w:t>
      </w:r>
    </w:p>
  </w:footnote>
  <w:footnote w:id="12">
    <w:p w:rsidR="00606750" w:rsidRDefault="00606750">
      <w:pPr>
        <w:pStyle w:val="Funotentext"/>
      </w:pPr>
      <w:r>
        <w:rPr>
          <w:rStyle w:val="Funotenzeichen"/>
        </w:rPr>
        <w:footnoteRef/>
      </w:r>
      <w:r>
        <w:t xml:space="preserve"> Michael Wildt: Volksgemeinschaft, S. 52. </w:t>
      </w:r>
      <w:r w:rsidR="002525F0">
        <w:t>Hervorhebung – F.T.</w:t>
      </w:r>
    </w:p>
  </w:footnote>
  <w:footnote w:id="13">
    <w:p w:rsidR="00606750" w:rsidRDefault="00606750">
      <w:pPr>
        <w:pStyle w:val="Funotentext"/>
      </w:pPr>
      <w:r>
        <w:rPr>
          <w:rStyle w:val="Funotenzeichen"/>
        </w:rPr>
        <w:footnoteRef/>
      </w:r>
      <w:r>
        <w:t xml:space="preserve"> </w:t>
      </w:r>
      <w:proofErr w:type="spellStart"/>
      <w:r>
        <w:t>Fraenkel</w:t>
      </w:r>
      <w:proofErr w:type="spellEnd"/>
      <w:r>
        <w:t xml:space="preserve">: </w:t>
      </w:r>
      <w:r w:rsidRPr="00034084">
        <w:rPr>
          <w:i/>
        </w:rPr>
        <w:t>Doppelstaat</w:t>
      </w:r>
      <w:r>
        <w:t>, S. 26.</w:t>
      </w:r>
    </w:p>
  </w:footnote>
  <w:footnote w:id="14">
    <w:p w:rsidR="00606750" w:rsidRDefault="00606750">
      <w:pPr>
        <w:pStyle w:val="Funotentext"/>
      </w:pPr>
      <w:r>
        <w:rPr>
          <w:rStyle w:val="Funotenzeichen"/>
        </w:rPr>
        <w:footnoteRef/>
      </w:r>
      <w:r>
        <w:t xml:space="preserve"> Ebd.</w:t>
      </w:r>
    </w:p>
  </w:footnote>
  <w:footnote w:id="15">
    <w:p w:rsidR="00606750" w:rsidRDefault="00606750">
      <w:pPr>
        <w:pStyle w:val="Funotentext"/>
      </w:pPr>
      <w:r>
        <w:rPr>
          <w:rStyle w:val="Funotenzeichen"/>
        </w:rPr>
        <w:footnoteRef/>
      </w:r>
      <w:r>
        <w:t xml:space="preserve"> Michael Wildt formuliert den Sachverhalt in folgender Weise: „Der Ausnahmezustand löscht das Gesetz nicht aus, schafft jedoch den Raum, wo das Gesetz nicht mehr gilt.“ – A.a.O., S. 60.</w:t>
      </w:r>
    </w:p>
  </w:footnote>
  <w:footnote w:id="16">
    <w:p w:rsidR="00606750" w:rsidRPr="00EC62D7" w:rsidRDefault="00606750" w:rsidP="004C40B4">
      <w:pPr>
        <w:pStyle w:val="Funotentext"/>
      </w:pPr>
      <w:r>
        <w:rPr>
          <w:rStyle w:val="Funotenzeichen"/>
        </w:rPr>
        <w:footnoteRef/>
      </w:r>
      <w:r>
        <w:t xml:space="preserve"> S. 28 f. – </w:t>
      </w:r>
      <w:proofErr w:type="spellStart"/>
      <w:r>
        <w:t>Fraenkel</w:t>
      </w:r>
      <w:proofErr w:type="spellEnd"/>
      <w:r>
        <w:t xml:space="preserve"> weist darauf hin, dass bei „An</w:t>
      </w:r>
      <w:r w:rsidRPr="00EC62D7">
        <w:t xml:space="preserve">wendung der Verordnung vom 28. Februar 1933 </w:t>
      </w:r>
      <w:r>
        <w:t>[…]</w:t>
      </w:r>
      <w:r w:rsidRPr="00EC62D7">
        <w:t xml:space="preserve"> die Polizeibehörden weder an die Bestimmungen der Reichsverfassung gebunden</w:t>
      </w:r>
      <w:r>
        <w:t xml:space="preserve"> [sind]</w:t>
      </w:r>
      <w:r w:rsidRPr="00EC62D7">
        <w:t xml:space="preserve">, noch sind sie gehalten, die sonstigen gesetzlichen Bestimmungen zu respektieren.“ </w:t>
      </w:r>
      <w:r>
        <w:t>Als Beleg</w:t>
      </w:r>
      <w:r w:rsidRPr="00EC62D7">
        <w:t xml:space="preserve"> </w:t>
      </w:r>
      <w:r>
        <w:t xml:space="preserve">führt er </w:t>
      </w:r>
      <w:r w:rsidRPr="00EC62D7">
        <w:t xml:space="preserve">eine </w:t>
      </w:r>
      <w:r w:rsidR="003E1BFC">
        <w:t xml:space="preserve">entsprechende </w:t>
      </w:r>
      <w:r w:rsidRPr="00EC62D7">
        <w:t>Entscheidung des Kammergerichts vom 31. Mai 1935</w:t>
      </w:r>
      <w:r>
        <w:t xml:space="preserve"> an</w:t>
      </w:r>
      <w:r w:rsidRPr="00EC62D7">
        <w:t xml:space="preserve">: „Einer solchen Gefährdung der öffentlichen </w:t>
      </w:r>
      <w:r>
        <w:t>S</w:t>
      </w:r>
      <w:r w:rsidRPr="00EC62D7">
        <w:t>icherheit und Ordnung wollen die Bestimmungen der Anordnung [</w:t>
      </w:r>
      <w:r>
        <w:t xml:space="preserve">i.e. der </w:t>
      </w:r>
      <w:r w:rsidRPr="00EC62D7">
        <w:t>Reichstagsbrand-Notverordnung] entgegentreten, wobei übr</w:t>
      </w:r>
      <w:r w:rsidRPr="00EC62D7">
        <w:t>i</w:t>
      </w:r>
      <w:r w:rsidRPr="00EC62D7">
        <w:t>gens die Frage ihrer Zweckmäßigkeit und Notwendigkeit einer Nachprüfung durch das Gericht nicht unterliegt.“</w:t>
      </w:r>
      <w:r>
        <w:t xml:space="preserve"> (S. 41 f.)</w:t>
      </w:r>
    </w:p>
  </w:footnote>
  <w:footnote w:id="17">
    <w:p w:rsidR="00606750" w:rsidRDefault="00606750">
      <w:pPr>
        <w:pStyle w:val="Funotentext"/>
      </w:pPr>
      <w:r>
        <w:rPr>
          <w:rStyle w:val="Funotenzeichen"/>
        </w:rPr>
        <w:footnoteRef/>
      </w:r>
      <w:r>
        <w:t xml:space="preserve"> S. </w:t>
      </w:r>
      <w:r w:rsidRPr="004301FD">
        <w:t>59 f.</w:t>
      </w:r>
    </w:p>
  </w:footnote>
  <w:footnote w:id="18">
    <w:p w:rsidR="00606750" w:rsidRDefault="00606750">
      <w:pPr>
        <w:pStyle w:val="Funotentext"/>
      </w:pPr>
      <w:r>
        <w:rPr>
          <w:rStyle w:val="Funotenzeichen"/>
        </w:rPr>
        <w:footnoteRef/>
      </w:r>
      <w:r>
        <w:t xml:space="preserve"> S. 60.</w:t>
      </w:r>
    </w:p>
  </w:footnote>
  <w:footnote w:id="19">
    <w:p w:rsidR="00606750" w:rsidRDefault="00606750">
      <w:pPr>
        <w:pStyle w:val="Funotentext"/>
      </w:pPr>
      <w:r>
        <w:rPr>
          <w:rStyle w:val="Funotenzeichen"/>
        </w:rPr>
        <w:footnoteRef/>
      </w:r>
      <w:r>
        <w:t xml:space="preserve"> S. 61.</w:t>
      </w:r>
    </w:p>
  </w:footnote>
  <w:footnote w:id="20">
    <w:p w:rsidR="00606750" w:rsidRPr="009C4E1B" w:rsidRDefault="00606750">
      <w:pPr>
        <w:pStyle w:val="Funotentext"/>
      </w:pPr>
      <w:r>
        <w:rPr>
          <w:rStyle w:val="Funotenzeichen"/>
        </w:rPr>
        <w:footnoteRef/>
      </w:r>
      <w:r>
        <w:t xml:space="preserve"> Ebd. – </w:t>
      </w:r>
      <w:proofErr w:type="spellStart"/>
      <w:r>
        <w:t>Fraenkel</w:t>
      </w:r>
      <w:proofErr w:type="spellEnd"/>
      <w:r>
        <w:t xml:space="preserve"> verweist auf den Aufsatz von Werner Best: Werdendes Polizeirecht. – In: </w:t>
      </w:r>
      <w:r>
        <w:rPr>
          <w:i/>
        </w:rPr>
        <w:t>Deutsches Recht</w:t>
      </w:r>
      <w:r>
        <w:t xml:space="preserve"> 1938, S. 224.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9626"/>
      <w:docPartObj>
        <w:docPartGallery w:val="Page Numbers (Top of Page)"/>
        <w:docPartUnique/>
      </w:docPartObj>
    </w:sdtPr>
    <w:sdtEndPr/>
    <w:sdtContent>
      <w:p w:rsidR="00606750" w:rsidRDefault="009F6350">
        <w:pPr>
          <w:pStyle w:val="Kopfzeile"/>
          <w:jc w:val="right"/>
        </w:pPr>
        <w:r>
          <w:fldChar w:fldCharType="begin"/>
        </w:r>
        <w:r>
          <w:instrText xml:space="preserve"> PAGE   \* MERGEFORMAT </w:instrText>
        </w:r>
        <w:r>
          <w:fldChar w:fldCharType="separate"/>
        </w:r>
        <w:r w:rsidR="003E3BE1">
          <w:rPr>
            <w:noProof/>
          </w:rPr>
          <w:t>6</w:t>
        </w:r>
        <w:r>
          <w:rPr>
            <w:noProof/>
          </w:rPr>
          <w:fldChar w:fldCharType="end"/>
        </w:r>
      </w:p>
    </w:sdtContent>
  </w:sdt>
  <w:p w:rsidR="00606750" w:rsidRDefault="0060675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10F5C"/>
    <w:multiLevelType w:val="multilevel"/>
    <w:tmpl w:val="CCB6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3744"/>
    <w:rsid w:val="00034084"/>
    <w:rsid w:val="00045352"/>
    <w:rsid w:val="000550C4"/>
    <w:rsid w:val="000627DC"/>
    <w:rsid w:val="00064AA1"/>
    <w:rsid w:val="00070C62"/>
    <w:rsid w:val="00076C25"/>
    <w:rsid w:val="00094A80"/>
    <w:rsid w:val="000F3FE9"/>
    <w:rsid w:val="000F5C6A"/>
    <w:rsid w:val="00113155"/>
    <w:rsid w:val="00123A72"/>
    <w:rsid w:val="001252F5"/>
    <w:rsid w:val="0014235E"/>
    <w:rsid w:val="001453A2"/>
    <w:rsid w:val="001550CA"/>
    <w:rsid w:val="00185C7C"/>
    <w:rsid w:val="001A425B"/>
    <w:rsid w:val="00235995"/>
    <w:rsid w:val="00235FCC"/>
    <w:rsid w:val="00244901"/>
    <w:rsid w:val="002478C5"/>
    <w:rsid w:val="002525F0"/>
    <w:rsid w:val="00297353"/>
    <w:rsid w:val="002C2AED"/>
    <w:rsid w:val="002C502F"/>
    <w:rsid w:val="002E53EA"/>
    <w:rsid w:val="00343F68"/>
    <w:rsid w:val="00397328"/>
    <w:rsid w:val="003A3716"/>
    <w:rsid w:val="003D04D7"/>
    <w:rsid w:val="003D3744"/>
    <w:rsid w:val="003E04D8"/>
    <w:rsid w:val="003E1BFC"/>
    <w:rsid w:val="003E3BE1"/>
    <w:rsid w:val="00420375"/>
    <w:rsid w:val="004301FD"/>
    <w:rsid w:val="004700D0"/>
    <w:rsid w:val="00475F3E"/>
    <w:rsid w:val="00482161"/>
    <w:rsid w:val="00483874"/>
    <w:rsid w:val="004A15D1"/>
    <w:rsid w:val="004C40B4"/>
    <w:rsid w:val="004E1404"/>
    <w:rsid w:val="005045BF"/>
    <w:rsid w:val="00506817"/>
    <w:rsid w:val="0052648E"/>
    <w:rsid w:val="00552C18"/>
    <w:rsid w:val="0056095F"/>
    <w:rsid w:val="00574893"/>
    <w:rsid w:val="00585BA0"/>
    <w:rsid w:val="00594BED"/>
    <w:rsid w:val="005F2528"/>
    <w:rsid w:val="005F6D4D"/>
    <w:rsid w:val="00606750"/>
    <w:rsid w:val="00612FE9"/>
    <w:rsid w:val="006267DD"/>
    <w:rsid w:val="00651BB0"/>
    <w:rsid w:val="006571AB"/>
    <w:rsid w:val="00677276"/>
    <w:rsid w:val="00695B59"/>
    <w:rsid w:val="006A764D"/>
    <w:rsid w:val="006B58C2"/>
    <w:rsid w:val="006B5BC2"/>
    <w:rsid w:val="006D0285"/>
    <w:rsid w:val="007139C8"/>
    <w:rsid w:val="00731034"/>
    <w:rsid w:val="0073735B"/>
    <w:rsid w:val="00742838"/>
    <w:rsid w:val="00747C72"/>
    <w:rsid w:val="00754833"/>
    <w:rsid w:val="007C3401"/>
    <w:rsid w:val="00826F9B"/>
    <w:rsid w:val="008610AE"/>
    <w:rsid w:val="0087148D"/>
    <w:rsid w:val="008A715E"/>
    <w:rsid w:val="008B13E3"/>
    <w:rsid w:val="0090210E"/>
    <w:rsid w:val="00925129"/>
    <w:rsid w:val="00943617"/>
    <w:rsid w:val="009614E3"/>
    <w:rsid w:val="00965E2E"/>
    <w:rsid w:val="00995775"/>
    <w:rsid w:val="009970B5"/>
    <w:rsid w:val="009A33A9"/>
    <w:rsid w:val="009C4E1B"/>
    <w:rsid w:val="009D7CD4"/>
    <w:rsid w:val="009F6350"/>
    <w:rsid w:val="00AB27AE"/>
    <w:rsid w:val="00AB3196"/>
    <w:rsid w:val="00AB7603"/>
    <w:rsid w:val="00B5782B"/>
    <w:rsid w:val="00B82BD5"/>
    <w:rsid w:val="00BC15BF"/>
    <w:rsid w:val="00BD309F"/>
    <w:rsid w:val="00BE21E2"/>
    <w:rsid w:val="00BF2F3B"/>
    <w:rsid w:val="00C17E75"/>
    <w:rsid w:val="00C33CB3"/>
    <w:rsid w:val="00C40E85"/>
    <w:rsid w:val="00C55F81"/>
    <w:rsid w:val="00C6766B"/>
    <w:rsid w:val="00C85589"/>
    <w:rsid w:val="00C93CC3"/>
    <w:rsid w:val="00CA2BF7"/>
    <w:rsid w:val="00CB0CC9"/>
    <w:rsid w:val="00CB6B94"/>
    <w:rsid w:val="00CC16FC"/>
    <w:rsid w:val="00CC4D35"/>
    <w:rsid w:val="00CC69ED"/>
    <w:rsid w:val="00D72368"/>
    <w:rsid w:val="00DB0C1D"/>
    <w:rsid w:val="00DB569F"/>
    <w:rsid w:val="00DD2424"/>
    <w:rsid w:val="00DF422F"/>
    <w:rsid w:val="00E05C02"/>
    <w:rsid w:val="00E24E04"/>
    <w:rsid w:val="00E37EFC"/>
    <w:rsid w:val="00E970D8"/>
    <w:rsid w:val="00EA4018"/>
    <w:rsid w:val="00EC62D7"/>
    <w:rsid w:val="00EF0A08"/>
    <w:rsid w:val="00F0506B"/>
    <w:rsid w:val="00F149A0"/>
    <w:rsid w:val="00F31EDA"/>
    <w:rsid w:val="00F3647E"/>
    <w:rsid w:val="00F53546"/>
    <w:rsid w:val="00F74A68"/>
    <w:rsid w:val="00FB708B"/>
    <w:rsid w:val="00FB7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37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37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3744"/>
  </w:style>
  <w:style w:type="paragraph" w:styleId="Funotentext">
    <w:name w:val="footnote text"/>
    <w:basedOn w:val="Standard"/>
    <w:link w:val="FunotentextZchn"/>
    <w:uiPriority w:val="99"/>
    <w:semiHidden/>
    <w:unhideWhenUsed/>
    <w:rsid w:val="003D3744"/>
    <w:pPr>
      <w:spacing w:after="0" w:line="240" w:lineRule="auto"/>
    </w:pPr>
  </w:style>
  <w:style w:type="character" w:customStyle="1" w:styleId="FunotentextZchn">
    <w:name w:val="Fußnotentext Zchn"/>
    <w:basedOn w:val="Absatz-Standardschriftart"/>
    <w:link w:val="Funotentext"/>
    <w:uiPriority w:val="99"/>
    <w:semiHidden/>
    <w:rsid w:val="003D3744"/>
  </w:style>
  <w:style w:type="character" w:styleId="Funotenzeichen">
    <w:name w:val="footnote reference"/>
    <w:basedOn w:val="Absatz-Standardschriftart"/>
    <w:uiPriority w:val="99"/>
    <w:semiHidden/>
    <w:unhideWhenUsed/>
    <w:rsid w:val="003D37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0D499-F224-4509-8129-F785726A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2121</Words>
  <Characters>13365</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2010-08-22T09:35:00Z</cp:lastPrinted>
  <dcterms:created xsi:type="dcterms:W3CDTF">2011-03-18T16:08:00Z</dcterms:created>
  <dcterms:modified xsi:type="dcterms:W3CDTF">2012-08-01T14:10:00Z</dcterms:modified>
</cp:coreProperties>
</file>