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34" w:rsidRPr="005E05EB" w:rsidRDefault="005E05EB" w:rsidP="001D2105">
      <w:pPr>
        <w:spacing w:after="0"/>
        <w:jc w:val="both"/>
        <w:rPr>
          <w:b/>
          <w:sz w:val="24"/>
          <w:szCs w:val="24"/>
        </w:rPr>
      </w:pPr>
      <w:bookmarkStart w:id="0" w:name="_GoBack"/>
      <w:r w:rsidRPr="005E05EB">
        <w:rPr>
          <w:b/>
          <w:sz w:val="24"/>
          <w:szCs w:val="24"/>
        </w:rPr>
        <w:t>(2</w:t>
      </w:r>
      <w:r w:rsidR="00633E66">
        <w:rPr>
          <w:b/>
          <w:sz w:val="24"/>
          <w:szCs w:val="24"/>
        </w:rPr>
        <w:t>9</w:t>
      </w:r>
      <w:r w:rsidRPr="005E05EB">
        <w:rPr>
          <w:b/>
          <w:sz w:val="24"/>
          <w:szCs w:val="24"/>
        </w:rPr>
        <w:t xml:space="preserve">) Kap. </w:t>
      </w:r>
      <w:r w:rsidR="00DE760B">
        <w:rPr>
          <w:b/>
          <w:sz w:val="24"/>
          <w:szCs w:val="24"/>
        </w:rPr>
        <w:t>9</w:t>
      </w:r>
      <w:r w:rsidRPr="005E05EB">
        <w:rPr>
          <w:b/>
          <w:sz w:val="24"/>
          <w:szCs w:val="24"/>
        </w:rPr>
        <w:t xml:space="preserve">: Illusion </w:t>
      </w:r>
      <w:r w:rsidR="00BD48BC">
        <w:rPr>
          <w:b/>
          <w:sz w:val="24"/>
          <w:szCs w:val="24"/>
        </w:rPr>
        <w:t xml:space="preserve">und </w:t>
      </w:r>
      <w:r w:rsidR="000A24B4">
        <w:rPr>
          <w:b/>
          <w:sz w:val="24"/>
          <w:szCs w:val="24"/>
        </w:rPr>
        <w:t>Bedeutung</w:t>
      </w:r>
      <w:r w:rsidR="00BD48BC">
        <w:rPr>
          <w:b/>
          <w:sz w:val="24"/>
          <w:szCs w:val="24"/>
        </w:rPr>
        <w:t xml:space="preserve"> des </w:t>
      </w:r>
      <w:r w:rsidR="00682394">
        <w:rPr>
          <w:b/>
          <w:sz w:val="24"/>
          <w:szCs w:val="24"/>
        </w:rPr>
        <w:t>„</w:t>
      </w:r>
      <w:r w:rsidR="00BD48BC">
        <w:rPr>
          <w:b/>
          <w:sz w:val="24"/>
          <w:szCs w:val="24"/>
        </w:rPr>
        <w:t>Antifaschismus</w:t>
      </w:r>
      <w:r w:rsidR="00682394">
        <w:rPr>
          <w:b/>
          <w:sz w:val="24"/>
          <w:szCs w:val="24"/>
        </w:rPr>
        <w:t>“</w:t>
      </w:r>
    </w:p>
    <w:p w:rsidR="009B3F73" w:rsidRDefault="009B3F73" w:rsidP="001D2105">
      <w:pPr>
        <w:spacing w:after="0"/>
        <w:jc w:val="both"/>
        <w:rPr>
          <w:sz w:val="24"/>
          <w:szCs w:val="24"/>
        </w:rPr>
      </w:pPr>
    </w:p>
    <w:p w:rsidR="00B278A2" w:rsidRDefault="009B3F73" w:rsidP="001D2105">
      <w:pPr>
        <w:spacing w:after="0"/>
        <w:jc w:val="both"/>
        <w:rPr>
          <w:sz w:val="24"/>
          <w:szCs w:val="24"/>
        </w:rPr>
      </w:pPr>
      <w:r>
        <w:rPr>
          <w:sz w:val="24"/>
          <w:szCs w:val="24"/>
        </w:rPr>
        <w:t xml:space="preserve">Im März 1937 </w:t>
      </w:r>
      <w:r w:rsidR="005C604B">
        <w:rPr>
          <w:sz w:val="24"/>
          <w:szCs w:val="24"/>
        </w:rPr>
        <w:t>schreibt</w:t>
      </w:r>
      <w:r>
        <w:rPr>
          <w:sz w:val="24"/>
          <w:szCs w:val="24"/>
        </w:rPr>
        <w:t xml:space="preserve"> Joseph Roth </w:t>
      </w:r>
      <w:r w:rsidR="005C604B">
        <w:rPr>
          <w:sz w:val="24"/>
          <w:szCs w:val="24"/>
        </w:rPr>
        <w:t xml:space="preserve">für die </w:t>
      </w:r>
      <w:r>
        <w:rPr>
          <w:sz w:val="24"/>
          <w:szCs w:val="24"/>
        </w:rPr>
        <w:t xml:space="preserve">in Lemberg erscheinende Zeitung </w:t>
      </w:r>
      <w:proofErr w:type="spellStart"/>
      <w:r>
        <w:rPr>
          <w:i/>
          <w:sz w:val="24"/>
          <w:szCs w:val="24"/>
        </w:rPr>
        <w:t>Nasza</w:t>
      </w:r>
      <w:proofErr w:type="spellEnd"/>
      <w:r>
        <w:rPr>
          <w:i/>
          <w:sz w:val="24"/>
          <w:szCs w:val="24"/>
        </w:rPr>
        <w:t xml:space="preserve"> </w:t>
      </w:r>
      <w:proofErr w:type="spellStart"/>
      <w:r>
        <w:rPr>
          <w:i/>
          <w:sz w:val="24"/>
          <w:szCs w:val="24"/>
        </w:rPr>
        <w:t>Opinja</w:t>
      </w:r>
      <w:proofErr w:type="spellEnd"/>
      <w:r>
        <w:rPr>
          <w:sz w:val="24"/>
          <w:szCs w:val="24"/>
        </w:rPr>
        <w:t xml:space="preserve"> </w:t>
      </w:r>
      <w:r w:rsidR="005C604B">
        <w:rPr>
          <w:sz w:val="24"/>
          <w:szCs w:val="24"/>
        </w:rPr>
        <w:t>den A</w:t>
      </w:r>
      <w:r>
        <w:rPr>
          <w:sz w:val="24"/>
          <w:szCs w:val="24"/>
        </w:rPr>
        <w:t>rtikel „Die vertriebene deutsche Literatur“.</w:t>
      </w:r>
      <w:r>
        <w:rPr>
          <w:rStyle w:val="Funotenzeichen"/>
          <w:sz w:val="24"/>
          <w:szCs w:val="24"/>
        </w:rPr>
        <w:footnoteReference w:id="1"/>
      </w:r>
      <w:r w:rsidR="00407693">
        <w:rPr>
          <w:sz w:val="24"/>
          <w:szCs w:val="24"/>
        </w:rPr>
        <w:t xml:space="preserve"> </w:t>
      </w:r>
      <w:r w:rsidR="007F797B">
        <w:rPr>
          <w:sz w:val="24"/>
          <w:szCs w:val="24"/>
        </w:rPr>
        <w:t>Ohne dass d</w:t>
      </w:r>
      <w:r w:rsidR="00947F04">
        <w:rPr>
          <w:sz w:val="24"/>
          <w:szCs w:val="24"/>
        </w:rPr>
        <w:t>as</w:t>
      </w:r>
      <w:r w:rsidR="007F797B">
        <w:rPr>
          <w:sz w:val="24"/>
          <w:szCs w:val="24"/>
        </w:rPr>
        <w:t xml:space="preserve"> </w:t>
      </w:r>
      <w:r w:rsidR="009C0F51">
        <w:rPr>
          <w:sz w:val="24"/>
          <w:szCs w:val="24"/>
        </w:rPr>
        <w:t>Wort</w:t>
      </w:r>
      <w:r w:rsidR="007F797B">
        <w:rPr>
          <w:sz w:val="24"/>
          <w:szCs w:val="24"/>
        </w:rPr>
        <w:t xml:space="preserve"> „Antifaschismus“ </w:t>
      </w:r>
      <w:r w:rsidR="00947F04">
        <w:rPr>
          <w:sz w:val="24"/>
          <w:szCs w:val="24"/>
        </w:rPr>
        <w:t>auch nur berührt wird</w:t>
      </w:r>
      <w:r w:rsidR="007F797B">
        <w:rPr>
          <w:sz w:val="24"/>
          <w:szCs w:val="24"/>
        </w:rPr>
        <w:t xml:space="preserve">, </w:t>
      </w:r>
      <w:r w:rsidR="00947F04">
        <w:rPr>
          <w:sz w:val="24"/>
          <w:szCs w:val="24"/>
        </w:rPr>
        <w:t>kreist der Aufsatz um d</w:t>
      </w:r>
      <w:r w:rsidR="007F797B">
        <w:rPr>
          <w:sz w:val="24"/>
          <w:szCs w:val="24"/>
        </w:rPr>
        <w:t>iese</w:t>
      </w:r>
      <w:r w:rsidR="00947F04">
        <w:rPr>
          <w:sz w:val="24"/>
          <w:szCs w:val="24"/>
        </w:rPr>
        <w:t>n</w:t>
      </w:r>
      <w:r w:rsidR="007F797B">
        <w:rPr>
          <w:sz w:val="24"/>
          <w:szCs w:val="24"/>
        </w:rPr>
        <w:t xml:space="preserve"> Begriff</w:t>
      </w:r>
      <w:r w:rsidR="007F78F0">
        <w:rPr>
          <w:sz w:val="24"/>
          <w:szCs w:val="24"/>
        </w:rPr>
        <w:t xml:space="preserve"> </w:t>
      </w:r>
      <w:r w:rsidR="00947F04">
        <w:rPr>
          <w:sz w:val="24"/>
          <w:szCs w:val="24"/>
        </w:rPr>
        <w:t>und um die Illusionen, die sich an das „antifaschistische Bündnis“ knüpfen</w:t>
      </w:r>
      <w:r w:rsidR="007F78F0">
        <w:rPr>
          <w:sz w:val="24"/>
          <w:szCs w:val="24"/>
        </w:rPr>
        <w:t>. Die Argumentation ist mitunter sprunghaft</w:t>
      </w:r>
      <w:r w:rsidR="00643CEF">
        <w:rPr>
          <w:sz w:val="24"/>
          <w:szCs w:val="24"/>
        </w:rPr>
        <w:t xml:space="preserve">, in ihrem Kern </w:t>
      </w:r>
      <w:r w:rsidR="00947F04">
        <w:rPr>
          <w:sz w:val="24"/>
          <w:szCs w:val="24"/>
        </w:rPr>
        <w:t xml:space="preserve">jedoch nicht </w:t>
      </w:r>
      <w:proofErr w:type="spellStart"/>
      <w:r w:rsidR="00947F04">
        <w:rPr>
          <w:sz w:val="24"/>
          <w:szCs w:val="24"/>
        </w:rPr>
        <w:t>mi</w:t>
      </w:r>
      <w:r w:rsidR="00682394">
        <w:rPr>
          <w:sz w:val="24"/>
          <w:szCs w:val="24"/>
        </w:rPr>
        <w:t>ss</w:t>
      </w:r>
      <w:r w:rsidR="00947F04">
        <w:rPr>
          <w:sz w:val="24"/>
          <w:szCs w:val="24"/>
        </w:rPr>
        <w:t>zuverstehen</w:t>
      </w:r>
      <w:proofErr w:type="spellEnd"/>
      <w:r w:rsidR="00643CEF">
        <w:rPr>
          <w:sz w:val="24"/>
          <w:szCs w:val="24"/>
        </w:rPr>
        <w:t xml:space="preserve">. </w:t>
      </w:r>
      <w:r w:rsidR="00B278A2">
        <w:rPr>
          <w:sz w:val="24"/>
          <w:szCs w:val="24"/>
        </w:rPr>
        <w:t>Roth, der</w:t>
      </w:r>
      <w:r w:rsidR="00C114E3">
        <w:rPr>
          <w:sz w:val="24"/>
          <w:szCs w:val="24"/>
        </w:rPr>
        <w:t xml:space="preserve"> – w</w:t>
      </w:r>
      <w:r w:rsidR="005C604B">
        <w:rPr>
          <w:sz w:val="24"/>
          <w:szCs w:val="24"/>
        </w:rPr>
        <w:t xml:space="preserve">ie Walter Benjamin </w:t>
      </w:r>
      <w:r w:rsidR="005449B2">
        <w:rPr>
          <w:sz w:val="24"/>
          <w:szCs w:val="24"/>
        </w:rPr>
        <w:t xml:space="preserve">später </w:t>
      </w:r>
      <w:r w:rsidR="00CE7C57">
        <w:rPr>
          <w:sz w:val="24"/>
          <w:szCs w:val="24"/>
        </w:rPr>
        <w:t>formulier</w:t>
      </w:r>
      <w:r w:rsidR="005C604B">
        <w:rPr>
          <w:sz w:val="24"/>
          <w:szCs w:val="24"/>
        </w:rPr>
        <w:t>en wird</w:t>
      </w:r>
      <w:r w:rsidR="00C114E3">
        <w:rPr>
          <w:sz w:val="24"/>
          <w:szCs w:val="24"/>
        </w:rPr>
        <w:t xml:space="preserve"> – </w:t>
      </w:r>
      <w:r w:rsidR="00947F04">
        <w:rPr>
          <w:sz w:val="24"/>
          <w:szCs w:val="24"/>
        </w:rPr>
        <w:t xml:space="preserve">im Exil </w:t>
      </w:r>
      <w:r w:rsidR="005C604B">
        <w:rPr>
          <w:sz w:val="24"/>
          <w:szCs w:val="24"/>
        </w:rPr>
        <w:t>Selbstmord durch Alkoholismus beg</w:t>
      </w:r>
      <w:r w:rsidR="00CE7C57">
        <w:rPr>
          <w:sz w:val="24"/>
          <w:szCs w:val="24"/>
        </w:rPr>
        <w:t>ing</w:t>
      </w:r>
      <w:r w:rsidR="005C604B">
        <w:rPr>
          <w:sz w:val="24"/>
          <w:szCs w:val="24"/>
        </w:rPr>
        <w:t>,</w:t>
      </w:r>
      <w:r w:rsidR="005C604B">
        <w:rPr>
          <w:rStyle w:val="Funotenzeichen"/>
          <w:sz w:val="24"/>
          <w:szCs w:val="24"/>
        </w:rPr>
        <w:footnoteReference w:id="2"/>
      </w:r>
      <w:r w:rsidR="00B278A2">
        <w:rPr>
          <w:sz w:val="24"/>
          <w:szCs w:val="24"/>
        </w:rPr>
        <w:t xml:space="preserve"> </w:t>
      </w:r>
      <w:r w:rsidR="005C604B">
        <w:rPr>
          <w:sz w:val="24"/>
          <w:szCs w:val="24"/>
        </w:rPr>
        <w:t>zieht</w:t>
      </w:r>
      <w:r w:rsidR="008318C4">
        <w:rPr>
          <w:sz w:val="24"/>
          <w:szCs w:val="24"/>
        </w:rPr>
        <w:t xml:space="preserve"> </w:t>
      </w:r>
      <w:r w:rsidR="00947F04">
        <w:rPr>
          <w:sz w:val="24"/>
          <w:szCs w:val="24"/>
        </w:rPr>
        <w:t>hier</w:t>
      </w:r>
      <w:r w:rsidR="005C604B">
        <w:rPr>
          <w:sz w:val="24"/>
          <w:szCs w:val="24"/>
        </w:rPr>
        <w:t xml:space="preserve"> </w:t>
      </w:r>
      <w:r w:rsidR="00947F04">
        <w:rPr>
          <w:sz w:val="24"/>
          <w:szCs w:val="24"/>
        </w:rPr>
        <w:t xml:space="preserve">nüchtern Bilanz. Er wirft </w:t>
      </w:r>
      <w:r w:rsidR="005C604B">
        <w:rPr>
          <w:sz w:val="24"/>
          <w:szCs w:val="24"/>
        </w:rPr>
        <w:t>de</w:t>
      </w:r>
      <w:r w:rsidR="00947F04">
        <w:rPr>
          <w:sz w:val="24"/>
          <w:szCs w:val="24"/>
        </w:rPr>
        <w:t>n</w:t>
      </w:r>
      <w:r w:rsidR="008318C4">
        <w:rPr>
          <w:sz w:val="24"/>
          <w:szCs w:val="24"/>
        </w:rPr>
        <w:t xml:space="preserve"> exilierten Schriftsteller</w:t>
      </w:r>
      <w:r w:rsidR="00947F04">
        <w:rPr>
          <w:sz w:val="24"/>
          <w:szCs w:val="24"/>
        </w:rPr>
        <w:t>n</w:t>
      </w:r>
      <w:r w:rsidR="008318C4">
        <w:rPr>
          <w:sz w:val="24"/>
          <w:szCs w:val="24"/>
        </w:rPr>
        <w:t xml:space="preserve"> </w:t>
      </w:r>
      <w:r w:rsidR="00947F04">
        <w:rPr>
          <w:sz w:val="24"/>
          <w:szCs w:val="24"/>
        </w:rPr>
        <w:t xml:space="preserve">Illusionismus </w:t>
      </w:r>
      <w:r w:rsidR="00CE7C57">
        <w:rPr>
          <w:sz w:val="24"/>
          <w:szCs w:val="24"/>
        </w:rPr>
        <w:t>vor</w:t>
      </w:r>
      <w:r w:rsidR="00947F04">
        <w:rPr>
          <w:sz w:val="24"/>
          <w:szCs w:val="24"/>
        </w:rPr>
        <w:t>. Sie schlössen</w:t>
      </w:r>
      <w:r w:rsidR="00CE7C57">
        <w:rPr>
          <w:sz w:val="24"/>
          <w:szCs w:val="24"/>
        </w:rPr>
        <w:t xml:space="preserve"> </w:t>
      </w:r>
      <w:r w:rsidR="008318C4">
        <w:rPr>
          <w:sz w:val="24"/>
          <w:szCs w:val="24"/>
        </w:rPr>
        <w:t xml:space="preserve">die </w:t>
      </w:r>
      <w:r w:rsidR="00BD48BC">
        <w:rPr>
          <w:sz w:val="24"/>
          <w:szCs w:val="24"/>
        </w:rPr>
        <w:t>Augen vor der Realität</w:t>
      </w:r>
      <w:r w:rsidR="00947F04">
        <w:rPr>
          <w:sz w:val="24"/>
          <w:szCs w:val="24"/>
        </w:rPr>
        <w:t>,</w:t>
      </w:r>
      <w:r w:rsidR="005449B2" w:rsidRPr="005449B2">
        <w:rPr>
          <w:sz w:val="24"/>
          <w:szCs w:val="24"/>
        </w:rPr>
        <w:t xml:space="preserve"> </w:t>
      </w:r>
      <w:r w:rsidR="00947F04">
        <w:rPr>
          <w:sz w:val="24"/>
          <w:szCs w:val="24"/>
        </w:rPr>
        <w:t>insb</w:t>
      </w:r>
      <w:r w:rsidR="00947F04">
        <w:rPr>
          <w:sz w:val="24"/>
          <w:szCs w:val="24"/>
        </w:rPr>
        <w:t>e</w:t>
      </w:r>
      <w:r w:rsidR="00947F04">
        <w:rPr>
          <w:sz w:val="24"/>
          <w:szCs w:val="24"/>
        </w:rPr>
        <w:t>sondere</w:t>
      </w:r>
      <w:r w:rsidR="00643CEF">
        <w:rPr>
          <w:sz w:val="24"/>
          <w:szCs w:val="24"/>
        </w:rPr>
        <w:t xml:space="preserve"> </w:t>
      </w:r>
      <w:r w:rsidR="009C0F51">
        <w:rPr>
          <w:sz w:val="24"/>
          <w:szCs w:val="24"/>
        </w:rPr>
        <w:t xml:space="preserve">vor </w:t>
      </w:r>
      <w:r w:rsidR="00643CEF">
        <w:rPr>
          <w:sz w:val="24"/>
          <w:szCs w:val="24"/>
        </w:rPr>
        <w:t xml:space="preserve">den Gesetzen, </w:t>
      </w:r>
      <w:r w:rsidR="005449B2">
        <w:rPr>
          <w:sz w:val="24"/>
          <w:szCs w:val="24"/>
        </w:rPr>
        <w:t xml:space="preserve">nach denen die internationale Politik </w:t>
      </w:r>
      <w:r w:rsidR="00947F04">
        <w:rPr>
          <w:sz w:val="24"/>
          <w:szCs w:val="24"/>
        </w:rPr>
        <w:t>betrieben wird</w:t>
      </w:r>
      <w:r w:rsidR="007F797B">
        <w:rPr>
          <w:sz w:val="24"/>
          <w:szCs w:val="24"/>
        </w:rPr>
        <w:t>, und</w:t>
      </w:r>
      <w:r w:rsidR="00CE7C57" w:rsidRPr="00CE7C57">
        <w:rPr>
          <w:sz w:val="24"/>
          <w:szCs w:val="24"/>
        </w:rPr>
        <w:t xml:space="preserve"> </w:t>
      </w:r>
      <w:r w:rsidR="00947F04">
        <w:rPr>
          <w:sz w:val="24"/>
          <w:szCs w:val="24"/>
        </w:rPr>
        <w:t>klamme</w:t>
      </w:r>
      <w:r w:rsidR="00947F04">
        <w:rPr>
          <w:sz w:val="24"/>
          <w:szCs w:val="24"/>
        </w:rPr>
        <w:t>r</w:t>
      </w:r>
      <w:r w:rsidR="00947F04">
        <w:rPr>
          <w:sz w:val="24"/>
          <w:szCs w:val="24"/>
        </w:rPr>
        <w:t xml:space="preserve">ten </w:t>
      </w:r>
      <w:r w:rsidR="00CE7C57">
        <w:rPr>
          <w:sz w:val="24"/>
          <w:szCs w:val="24"/>
        </w:rPr>
        <w:t>sich an den Glauben</w:t>
      </w:r>
      <w:r w:rsidR="008318C4">
        <w:rPr>
          <w:sz w:val="24"/>
          <w:szCs w:val="24"/>
        </w:rPr>
        <w:t xml:space="preserve">, </w:t>
      </w:r>
      <w:r w:rsidR="007F797B">
        <w:rPr>
          <w:sz w:val="24"/>
          <w:szCs w:val="24"/>
        </w:rPr>
        <w:t>sie</w:t>
      </w:r>
      <w:r w:rsidR="00F43CFB">
        <w:rPr>
          <w:sz w:val="24"/>
          <w:szCs w:val="24"/>
        </w:rPr>
        <w:t xml:space="preserve"> </w:t>
      </w:r>
      <w:r w:rsidR="00706A94">
        <w:rPr>
          <w:sz w:val="24"/>
          <w:szCs w:val="24"/>
        </w:rPr>
        <w:t>hät</w:t>
      </w:r>
      <w:r w:rsidR="00BC2C30">
        <w:rPr>
          <w:sz w:val="24"/>
          <w:szCs w:val="24"/>
        </w:rPr>
        <w:t xml:space="preserve">ten </w:t>
      </w:r>
      <w:r w:rsidR="00947F04">
        <w:rPr>
          <w:sz w:val="24"/>
          <w:szCs w:val="24"/>
        </w:rPr>
        <w:t xml:space="preserve">auch jetzt noch </w:t>
      </w:r>
      <w:r w:rsidR="00706A94">
        <w:rPr>
          <w:sz w:val="24"/>
          <w:szCs w:val="24"/>
        </w:rPr>
        <w:t>Einfluss auf ihre ehemaligen Leser in Deutschland</w:t>
      </w:r>
      <w:r w:rsidR="007F797B">
        <w:rPr>
          <w:sz w:val="24"/>
          <w:szCs w:val="24"/>
        </w:rPr>
        <w:t xml:space="preserve">. </w:t>
      </w:r>
      <w:r w:rsidR="00706A94">
        <w:rPr>
          <w:sz w:val="24"/>
          <w:szCs w:val="24"/>
        </w:rPr>
        <w:t xml:space="preserve">Dass sie in Wahrheit keine „Emigranten“, sondern „Vertriebene“ sind, führen sie sich nicht vor Augen. </w:t>
      </w:r>
      <w:r w:rsidR="00643CEF">
        <w:rPr>
          <w:sz w:val="24"/>
          <w:szCs w:val="24"/>
        </w:rPr>
        <w:t xml:space="preserve">Ihr </w:t>
      </w:r>
      <w:r w:rsidR="007F797B">
        <w:rPr>
          <w:sz w:val="24"/>
          <w:szCs w:val="24"/>
        </w:rPr>
        <w:t>Agieren</w:t>
      </w:r>
      <w:r w:rsidR="00643CEF">
        <w:rPr>
          <w:sz w:val="24"/>
          <w:szCs w:val="24"/>
        </w:rPr>
        <w:t xml:space="preserve"> ist vor allem eines: Verdrängung</w:t>
      </w:r>
      <w:r w:rsidR="005449B2">
        <w:rPr>
          <w:sz w:val="24"/>
          <w:szCs w:val="24"/>
        </w:rPr>
        <w:t xml:space="preserve"> </w:t>
      </w:r>
      <w:r w:rsidR="00643CEF">
        <w:rPr>
          <w:sz w:val="24"/>
          <w:szCs w:val="24"/>
        </w:rPr>
        <w:t>und Kompensation</w:t>
      </w:r>
      <w:r w:rsidR="007F797B">
        <w:rPr>
          <w:sz w:val="24"/>
          <w:szCs w:val="24"/>
        </w:rPr>
        <w:t xml:space="preserve"> der am eigenen Leib erlebten Ohnmacht</w:t>
      </w:r>
      <w:r w:rsidR="008318C4">
        <w:rPr>
          <w:sz w:val="24"/>
          <w:szCs w:val="24"/>
        </w:rPr>
        <w:t>.</w:t>
      </w:r>
      <w:r w:rsidR="00064C66">
        <w:rPr>
          <w:sz w:val="24"/>
          <w:szCs w:val="24"/>
        </w:rPr>
        <w:t xml:space="preserve"> </w:t>
      </w:r>
      <w:r w:rsidR="00D0060B">
        <w:rPr>
          <w:sz w:val="24"/>
          <w:szCs w:val="24"/>
        </w:rPr>
        <w:t>A</w:t>
      </w:r>
      <w:r w:rsidR="00064C66">
        <w:rPr>
          <w:sz w:val="24"/>
          <w:szCs w:val="24"/>
        </w:rPr>
        <w:t xml:space="preserve">m </w:t>
      </w:r>
      <w:r w:rsidR="00CE7C57">
        <w:rPr>
          <w:sz w:val="24"/>
          <w:szCs w:val="24"/>
        </w:rPr>
        <w:t>Schluss</w:t>
      </w:r>
      <w:r w:rsidR="00064C66">
        <w:rPr>
          <w:sz w:val="24"/>
          <w:szCs w:val="24"/>
        </w:rPr>
        <w:t xml:space="preserve"> </w:t>
      </w:r>
      <w:r w:rsidR="00706A94">
        <w:rPr>
          <w:sz w:val="24"/>
          <w:szCs w:val="24"/>
        </w:rPr>
        <w:t>beschwör</w:t>
      </w:r>
      <w:r w:rsidR="00064C66">
        <w:rPr>
          <w:sz w:val="24"/>
          <w:szCs w:val="24"/>
        </w:rPr>
        <w:t xml:space="preserve">t </w:t>
      </w:r>
      <w:r w:rsidR="00706A94">
        <w:rPr>
          <w:sz w:val="24"/>
          <w:szCs w:val="24"/>
        </w:rPr>
        <w:t xml:space="preserve">Roth </w:t>
      </w:r>
      <w:r w:rsidR="005C604B">
        <w:rPr>
          <w:sz w:val="24"/>
          <w:szCs w:val="24"/>
        </w:rPr>
        <w:t xml:space="preserve">trotzdem </w:t>
      </w:r>
      <w:r w:rsidR="007F797B">
        <w:rPr>
          <w:sz w:val="24"/>
          <w:szCs w:val="24"/>
        </w:rPr>
        <w:t>di</w:t>
      </w:r>
      <w:r w:rsidR="00064C66">
        <w:rPr>
          <w:sz w:val="24"/>
          <w:szCs w:val="24"/>
        </w:rPr>
        <w:t xml:space="preserve">e </w:t>
      </w:r>
      <w:r w:rsidR="00706A94">
        <w:rPr>
          <w:sz w:val="24"/>
          <w:szCs w:val="24"/>
        </w:rPr>
        <w:t>Kraf</w:t>
      </w:r>
      <w:r w:rsidR="00064C66">
        <w:rPr>
          <w:sz w:val="24"/>
          <w:szCs w:val="24"/>
        </w:rPr>
        <w:t xml:space="preserve">t des </w:t>
      </w:r>
      <w:r w:rsidR="00BD48BC">
        <w:rPr>
          <w:sz w:val="24"/>
          <w:szCs w:val="24"/>
        </w:rPr>
        <w:t xml:space="preserve">dichterischen </w:t>
      </w:r>
      <w:r w:rsidR="00064C66">
        <w:rPr>
          <w:sz w:val="24"/>
          <w:szCs w:val="24"/>
        </w:rPr>
        <w:t>Wortes</w:t>
      </w:r>
      <w:r w:rsidR="00706A94">
        <w:rPr>
          <w:sz w:val="24"/>
          <w:szCs w:val="24"/>
        </w:rPr>
        <w:t>. Es wird jedoch n</w:t>
      </w:r>
      <w:r w:rsidR="005C604B">
        <w:rPr>
          <w:sz w:val="24"/>
          <w:szCs w:val="24"/>
        </w:rPr>
        <w:t>icht die Phrase</w:t>
      </w:r>
      <w:r w:rsidR="005449B2">
        <w:rPr>
          <w:sz w:val="24"/>
          <w:szCs w:val="24"/>
        </w:rPr>
        <w:t xml:space="preserve"> </w:t>
      </w:r>
      <w:r w:rsidR="00706A94">
        <w:rPr>
          <w:sz w:val="24"/>
          <w:szCs w:val="24"/>
        </w:rPr>
        <w:t>– also die politische Parole –</w:t>
      </w:r>
      <w:r w:rsidR="00111B3D">
        <w:rPr>
          <w:sz w:val="24"/>
          <w:szCs w:val="24"/>
        </w:rPr>
        <w:t xml:space="preserve"> </w:t>
      </w:r>
      <w:r w:rsidR="00706A94">
        <w:rPr>
          <w:sz w:val="24"/>
          <w:szCs w:val="24"/>
        </w:rPr>
        <w:t>die Real</w:t>
      </w:r>
      <w:r w:rsidR="00706A94">
        <w:rPr>
          <w:sz w:val="24"/>
          <w:szCs w:val="24"/>
        </w:rPr>
        <w:t>i</w:t>
      </w:r>
      <w:r w:rsidR="00706A94">
        <w:rPr>
          <w:sz w:val="24"/>
          <w:szCs w:val="24"/>
        </w:rPr>
        <w:t>tät verändern</w:t>
      </w:r>
      <w:r w:rsidR="005C604B">
        <w:rPr>
          <w:sz w:val="24"/>
          <w:szCs w:val="24"/>
        </w:rPr>
        <w:t xml:space="preserve">, </w:t>
      </w:r>
      <w:r w:rsidR="00706A94">
        <w:rPr>
          <w:sz w:val="24"/>
          <w:szCs w:val="24"/>
        </w:rPr>
        <w:t>möglicherweise</w:t>
      </w:r>
      <w:r w:rsidR="005C604B">
        <w:rPr>
          <w:sz w:val="24"/>
          <w:szCs w:val="24"/>
        </w:rPr>
        <w:t xml:space="preserve"> aber das </w:t>
      </w:r>
      <w:r w:rsidR="005449B2">
        <w:rPr>
          <w:sz w:val="24"/>
          <w:szCs w:val="24"/>
        </w:rPr>
        <w:t>„</w:t>
      </w:r>
      <w:r w:rsidR="005C604B" w:rsidRPr="005449B2">
        <w:rPr>
          <w:sz w:val="24"/>
          <w:szCs w:val="24"/>
        </w:rPr>
        <w:t>Wort</w:t>
      </w:r>
      <w:r w:rsidR="005449B2">
        <w:rPr>
          <w:sz w:val="24"/>
          <w:szCs w:val="24"/>
        </w:rPr>
        <w:t>“</w:t>
      </w:r>
      <w:r w:rsidR="005C604B">
        <w:rPr>
          <w:sz w:val="24"/>
          <w:szCs w:val="24"/>
        </w:rPr>
        <w:t>.</w:t>
      </w:r>
    </w:p>
    <w:p w:rsidR="00064C66" w:rsidRDefault="00064C66" w:rsidP="001D2105">
      <w:pPr>
        <w:spacing w:after="0"/>
        <w:jc w:val="both"/>
        <w:rPr>
          <w:sz w:val="24"/>
          <w:szCs w:val="24"/>
        </w:rPr>
      </w:pPr>
    </w:p>
    <w:p w:rsidR="00BA6A11" w:rsidRDefault="00BA6A11" w:rsidP="001D2105">
      <w:pPr>
        <w:spacing w:after="0"/>
        <w:jc w:val="both"/>
        <w:rPr>
          <w:sz w:val="24"/>
          <w:szCs w:val="24"/>
        </w:rPr>
      </w:pPr>
      <w:r>
        <w:rPr>
          <w:sz w:val="24"/>
          <w:szCs w:val="24"/>
        </w:rPr>
        <w:tab/>
      </w:r>
      <w:r w:rsidR="00E96613">
        <w:rPr>
          <w:sz w:val="24"/>
          <w:szCs w:val="24"/>
        </w:rPr>
        <w:t xml:space="preserve">Der Ausgangspunkt für </w:t>
      </w:r>
      <w:r w:rsidR="00CB54CC">
        <w:rPr>
          <w:sz w:val="24"/>
          <w:szCs w:val="24"/>
        </w:rPr>
        <w:t>Roth</w:t>
      </w:r>
      <w:r w:rsidR="00E96613">
        <w:rPr>
          <w:sz w:val="24"/>
          <w:szCs w:val="24"/>
        </w:rPr>
        <w:t xml:space="preserve"> ist die</w:t>
      </w:r>
      <w:r w:rsidR="008318C4">
        <w:rPr>
          <w:sz w:val="24"/>
          <w:szCs w:val="24"/>
        </w:rPr>
        <w:t xml:space="preserve"> Unangemessenheit des Begriffs „Emigrationslit</w:t>
      </w:r>
      <w:r w:rsidR="008318C4">
        <w:rPr>
          <w:sz w:val="24"/>
          <w:szCs w:val="24"/>
        </w:rPr>
        <w:t>e</w:t>
      </w:r>
      <w:r w:rsidR="008318C4">
        <w:rPr>
          <w:sz w:val="24"/>
          <w:szCs w:val="24"/>
        </w:rPr>
        <w:t>ratur“</w:t>
      </w:r>
      <w:r w:rsidR="00CB54CC">
        <w:rPr>
          <w:sz w:val="24"/>
          <w:szCs w:val="24"/>
        </w:rPr>
        <w:t>: D</w:t>
      </w:r>
      <w:r w:rsidR="008318C4">
        <w:rPr>
          <w:sz w:val="24"/>
          <w:szCs w:val="24"/>
        </w:rPr>
        <w:t xml:space="preserve">ie </w:t>
      </w:r>
      <w:r w:rsidR="009C0F51">
        <w:rPr>
          <w:sz w:val="24"/>
          <w:szCs w:val="24"/>
        </w:rPr>
        <w:t>S</w:t>
      </w:r>
      <w:r w:rsidR="008318C4">
        <w:rPr>
          <w:sz w:val="24"/>
          <w:szCs w:val="24"/>
        </w:rPr>
        <w:t xml:space="preserve">chriftsteller </w:t>
      </w:r>
      <w:r w:rsidR="00CE7C57">
        <w:rPr>
          <w:sz w:val="24"/>
          <w:szCs w:val="24"/>
        </w:rPr>
        <w:t>seien</w:t>
      </w:r>
      <w:r w:rsidR="00E96613">
        <w:rPr>
          <w:sz w:val="24"/>
          <w:szCs w:val="24"/>
        </w:rPr>
        <w:t xml:space="preserve"> in Wahrheit</w:t>
      </w:r>
      <w:r w:rsidR="00CE7C57">
        <w:rPr>
          <w:sz w:val="24"/>
          <w:szCs w:val="24"/>
        </w:rPr>
        <w:t xml:space="preserve"> </w:t>
      </w:r>
      <w:r w:rsidR="008318C4">
        <w:rPr>
          <w:sz w:val="24"/>
          <w:szCs w:val="24"/>
        </w:rPr>
        <w:t xml:space="preserve">keine </w:t>
      </w:r>
      <w:r w:rsidR="002F6DE8">
        <w:rPr>
          <w:sz w:val="24"/>
          <w:szCs w:val="24"/>
        </w:rPr>
        <w:t>„</w:t>
      </w:r>
      <w:r w:rsidR="008318C4">
        <w:rPr>
          <w:sz w:val="24"/>
          <w:szCs w:val="24"/>
        </w:rPr>
        <w:t>Emigranten</w:t>
      </w:r>
      <w:r w:rsidR="002F6DE8">
        <w:rPr>
          <w:sz w:val="24"/>
          <w:szCs w:val="24"/>
        </w:rPr>
        <w:t>“</w:t>
      </w:r>
      <w:r w:rsidR="002D6E49">
        <w:rPr>
          <w:sz w:val="24"/>
          <w:szCs w:val="24"/>
        </w:rPr>
        <w:t>,</w:t>
      </w:r>
      <w:r w:rsidR="008318C4">
        <w:rPr>
          <w:sz w:val="24"/>
          <w:szCs w:val="24"/>
        </w:rPr>
        <w:t xml:space="preserve"> </w:t>
      </w:r>
      <w:r w:rsidR="002D6E49">
        <w:rPr>
          <w:sz w:val="24"/>
          <w:szCs w:val="24"/>
        </w:rPr>
        <w:t>sondern „Vertriebene“, also Opfer einer zielgerichtet vollzogenen Gewaltmaßnahme, der sie sich aufgrund fehlenden Ei</w:t>
      </w:r>
      <w:r w:rsidR="002D6E49">
        <w:rPr>
          <w:sz w:val="24"/>
          <w:szCs w:val="24"/>
        </w:rPr>
        <w:t>n</w:t>
      </w:r>
      <w:r w:rsidR="002D6E49">
        <w:rPr>
          <w:sz w:val="24"/>
          <w:szCs w:val="24"/>
        </w:rPr>
        <w:t xml:space="preserve">flusses weder entziehen noch widersetzen konnten. „Emigranten“ seien </w:t>
      </w:r>
      <w:r w:rsidR="008318C4">
        <w:rPr>
          <w:sz w:val="24"/>
          <w:szCs w:val="24"/>
        </w:rPr>
        <w:t>die Schriftsteller des 19. Jahrhunderts</w:t>
      </w:r>
      <w:r w:rsidR="002D6E49">
        <w:rPr>
          <w:sz w:val="24"/>
          <w:szCs w:val="24"/>
        </w:rPr>
        <w:t xml:space="preserve"> gewesen.</w:t>
      </w:r>
      <w:r w:rsidR="008318C4">
        <w:rPr>
          <w:sz w:val="24"/>
          <w:szCs w:val="24"/>
        </w:rPr>
        <w:t xml:space="preserve"> </w:t>
      </w:r>
      <w:r w:rsidR="002D6E49">
        <w:rPr>
          <w:sz w:val="24"/>
          <w:szCs w:val="24"/>
        </w:rPr>
        <w:t xml:space="preserve">Aus diesem Irrtum resultiere </w:t>
      </w:r>
      <w:r w:rsidR="002F6DE8">
        <w:rPr>
          <w:sz w:val="24"/>
          <w:szCs w:val="24"/>
        </w:rPr>
        <w:t>„Blindheit“</w:t>
      </w:r>
      <w:r w:rsidR="00CB54CC">
        <w:rPr>
          <w:sz w:val="24"/>
          <w:szCs w:val="24"/>
        </w:rPr>
        <w:t xml:space="preserve">, </w:t>
      </w:r>
      <w:r w:rsidR="002D6E49">
        <w:rPr>
          <w:sz w:val="24"/>
          <w:szCs w:val="24"/>
        </w:rPr>
        <w:t>die illusionäre Hoffnung auf einen „</w:t>
      </w:r>
      <w:r w:rsidR="002D6E49" w:rsidRPr="00AE7DEE">
        <w:rPr>
          <w:sz w:val="24"/>
          <w:szCs w:val="24"/>
        </w:rPr>
        <w:t>Einflu</w:t>
      </w:r>
      <w:r w:rsidR="002D6E49">
        <w:rPr>
          <w:sz w:val="24"/>
          <w:szCs w:val="24"/>
        </w:rPr>
        <w:t>ss</w:t>
      </w:r>
      <w:r w:rsidR="002D6E49" w:rsidRPr="00AE7DEE">
        <w:rPr>
          <w:sz w:val="24"/>
          <w:szCs w:val="24"/>
        </w:rPr>
        <w:t xml:space="preserve"> in Deutschland</w:t>
      </w:r>
      <w:r w:rsidR="002D6E49">
        <w:rPr>
          <w:sz w:val="24"/>
          <w:szCs w:val="24"/>
        </w:rPr>
        <w:t>“</w:t>
      </w:r>
      <w:r>
        <w:rPr>
          <w:sz w:val="24"/>
          <w:szCs w:val="24"/>
        </w:rPr>
        <w:t>:</w:t>
      </w:r>
    </w:p>
    <w:p w:rsidR="008318C4" w:rsidRDefault="00BA6A11" w:rsidP="001D2105">
      <w:pPr>
        <w:spacing w:after="0"/>
        <w:ind w:left="1134"/>
        <w:jc w:val="both"/>
        <w:rPr>
          <w:sz w:val="24"/>
          <w:szCs w:val="24"/>
        </w:rPr>
      </w:pPr>
      <w:r w:rsidRPr="00AE7DEE">
        <w:rPr>
          <w:sz w:val="24"/>
          <w:szCs w:val="24"/>
        </w:rPr>
        <w:t>„In edler Blindheit verharrte eine ganze Reihe von Schriftstellern, deren weltwe</w:t>
      </w:r>
      <w:r w:rsidRPr="00AE7DEE">
        <w:rPr>
          <w:sz w:val="24"/>
          <w:szCs w:val="24"/>
        </w:rPr>
        <w:t>i</w:t>
      </w:r>
      <w:r w:rsidRPr="00AE7DEE">
        <w:rPr>
          <w:sz w:val="24"/>
          <w:szCs w:val="24"/>
        </w:rPr>
        <w:t>tes Prestige nicht in Frage steht; sie verharrten in einem optimistischen, achtung</w:t>
      </w:r>
      <w:r w:rsidRPr="00AE7DEE">
        <w:rPr>
          <w:sz w:val="24"/>
          <w:szCs w:val="24"/>
        </w:rPr>
        <w:t>s</w:t>
      </w:r>
      <w:r w:rsidRPr="00AE7DEE">
        <w:rPr>
          <w:sz w:val="24"/>
          <w:szCs w:val="24"/>
        </w:rPr>
        <w:t xml:space="preserve">gebietenden Glauben an ihren </w:t>
      </w:r>
      <w:proofErr w:type="spellStart"/>
      <w:r w:rsidRPr="00AE7DEE">
        <w:rPr>
          <w:sz w:val="24"/>
          <w:szCs w:val="24"/>
        </w:rPr>
        <w:t>Einfluß</w:t>
      </w:r>
      <w:proofErr w:type="spellEnd"/>
      <w:r w:rsidRPr="00AE7DEE">
        <w:rPr>
          <w:sz w:val="24"/>
          <w:szCs w:val="24"/>
        </w:rPr>
        <w:t xml:space="preserve"> auf die in Deutschland zurückgebliebenen Leser – ungeachtet dessen, was dort vorgefallen ist.“</w:t>
      </w:r>
      <w:r w:rsidR="008318C4">
        <w:rPr>
          <w:rStyle w:val="Funotenzeichen"/>
          <w:sz w:val="24"/>
          <w:szCs w:val="24"/>
        </w:rPr>
        <w:footnoteReference w:id="3"/>
      </w:r>
    </w:p>
    <w:p w:rsidR="00BA6A11" w:rsidRDefault="00CB54CC" w:rsidP="001D2105">
      <w:pPr>
        <w:spacing w:after="0"/>
        <w:jc w:val="both"/>
        <w:rPr>
          <w:sz w:val="24"/>
          <w:szCs w:val="24"/>
        </w:rPr>
      </w:pPr>
      <w:r>
        <w:rPr>
          <w:sz w:val="24"/>
          <w:szCs w:val="24"/>
        </w:rPr>
        <w:t>Man</w:t>
      </w:r>
      <w:r w:rsidR="00964D82">
        <w:rPr>
          <w:sz w:val="24"/>
          <w:szCs w:val="24"/>
        </w:rPr>
        <w:t xml:space="preserve"> </w:t>
      </w:r>
      <w:r w:rsidR="00A44A3F">
        <w:rPr>
          <w:sz w:val="24"/>
          <w:szCs w:val="24"/>
        </w:rPr>
        <w:t>habe</w:t>
      </w:r>
      <w:r w:rsidR="008C683D">
        <w:rPr>
          <w:sz w:val="24"/>
          <w:szCs w:val="24"/>
        </w:rPr>
        <w:t xml:space="preserve"> „</w:t>
      </w:r>
      <w:r w:rsidR="00A44A3F">
        <w:rPr>
          <w:sz w:val="24"/>
          <w:szCs w:val="24"/>
        </w:rPr>
        <w:t>v</w:t>
      </w:r>
      <w:r w:rsidR="008C683D">
        <w:rPr>
          <w:sz w:val="24"/>
          <w:szCs w:val="24"/>
        </w:rPr>
        <w:t>ersag</w:t>
      </w:r>
      <w:r w:rsidR="00A44A3F">
        <w:rPr>
          <w:sz w:val="24"/>
          <w:szCs w:val="24"/>
        </w:rPr>
        <w:t>t</w:t>
      </w:r>
      <w:r w:rsidR="008C683D">
        <w:rPr>
          <w:sz w:val="24"/>
          <w:szCs w:val="24"/>
        </w:rPr>
        <w:t>“</w:t>
      </w:r>
      <w:r w:rsidR="006F580B">
        <w:rPr>
          <w:sz w:val="24"/>
          <w:szCs w:val="24"/>
        </w:rPr>
        <w:t>;</w:t>
      </w:r>
      <w:r w:rsidR="00A44A3F">
        <w:rPr>
          <w:sz w:val="24"/>
          <w:szCs w:val="24"/>
        </w:rPr>
        <w:t xml:space="preserve"> daran ändere auch </w:t>
      </w:r>
      <w:r w:rsidR="00735C47">
        <w:rPr>
          <w:sz w:val="24"/>
          <w:szCs w:val="24"/>
        </w:rPr>
        <w:t xml:space="preserve">die Tatsache </w:t>
      </w:r>
      <w:r w:rsidR="00A44A3F">
        <w:rPr>
          <w:sz w:val="24"/>
          <w:szCs w:val="24"/>
        </w:rPr>
        <w:t>nichts</w:t>
      </w:r>
      <w:r w:rsidR="002D6E49">
        <w:rPr>
          <w:sz w:val="24"/>
          <w:szCs w:val="24"/>
        </w:rPr>
        <w:t xml:space="preserve">, </w:t>
      </w:r>
      <w:r w:rsidR="00964D82">
        <w:rPr>
          <w:sz w:val="24"/>
          <w:szCs w:val="24"/>
        </w:rPr>
        <w:t xml:space="preserve">dass </w:t>
      </w:r>
      <w:r w:rsidR="00735C47">
        <w:rPr>
          <w:sz w:val="24"/>
          <w:szCs w:val="24"/>
        </w:rPr>
        <w:t>jetzt</w:t>
      </w:r>
      <w:r w:rsidR="00A44A3F">
        <w:rPr>
          <w:sz w:val="24"/>
          <w:szCs w:val="24"/>
        </w:rPr>
        <w:t xml:space="preserve"> auch </w:t>
      </w:r>
      <w:r w:rsidR="00964D82">
        <w:rPr>
          <w:sz w:val="24"/>
          <w:szCs w:val="24"/>
        </w:rPr>
        <w:t xml:space="preserve">Thomas Mann, der namhafteste deutsche Schriftsteller, Anklage </w:t>
      </w:r>
      <w:r w:rsidR="00735C47">
        <w:rPr>
          <w:sz w:val="24"/>
          <w:szCs w:val="24"/>
        </w:rPr>
        <w:t xml:space="preserve">gegen das Regime </w:t>
      </w:r>
      <w:r w:rsidR="00964D82">
        <w:rPr>
          <w:sz w:val="24"/>
          <w:szCs w:val="24"/>
        </w:rPr>
        <w:t>erhoben ha</w:t>
      </w:r>
      <w:r w:rsidR="00B26467">
        <w:rPr>
          <w:sz w:val="24"/>
          <w:szCs w:val="24"/>
        </w:rPr>
        <w:t>be</w:t>
      </w:r>
      <w:r w:rsidR="00BA6A11">
        <w:rPr>
          <w:sz w:val="24"/>
          <w:szCs w:val="24"/>
        </w:rPr>
        <w:t>:</w:t>
      </w:r>
      <w:r w:rsidR="00A44A3F" w:rsidRPr="00A44A3F">
        <w:rPr>
          <w:rStyle w:val="Funotenzeichen"/>
          <w:sz w:val="24"/>
          <w:szCs w:val="24"/>
        </w:rPr>
        <w:t xml:space="preserve"> </w:t>
      </w:r>
      <w:r w:rsidR="00A44A3F">
        <w:rPr>
          <w:rStyle w:val="Funotenzeichen"/>
          <w:sz w:val="24"/>
          <w:szCs w:val="24"/>
        </w:rPr>
        <w:footnoteReference w:id="4"/>
      </w:r>
    </w:p>
    <w:p w:rsidR="00BA6A11" w:rsidRDefault="00BA6A11" w:rsidP="001D2105">
      <w:pPr>
        <w:spacing w:after="0"/>
        <w:ind w:left="1134"/>
        <w:jc w:val="both"/>
        <w:rPr>
          <w:sz w:val="24"/>
          <w:szCs w:val="24"/>
        </w:rPr>
      </w:pPr>
      <w:r>
        <w:rPr>
          <w:sz w:val="24"/>
          <w:szCs w:val="24"/>
        </w:rPr>
        <w:t xml:space="preserve">„Es ist nämlich so, </w:t>
      </w:r>
      <w:proofErr w:type="spellStart"/>
      <w:r>
        <w:rPr>
          <w:sz w:val="24"/>
          <w:szCs w:val="24"/>
        </w:rPr>
        <w:t>daß</w:t>
      </w:r>
      <w:proofErr w:type="spellEnd"/>
      <w:r>
        <w:rPr>
          <w:sz w:val="24"/>
          <w:szCs w:val="24"/>
        </w:rPr>
        <w:t xml:space="preserve"> die deutsche Literatur in der sogenannten Emigration ve</w:t>
      </w:r>
      <w:r>
        <w:rPr>
          <w:sz w:val="24"/>
          <w:szCs w:val="24"/>
        </w:rPr>
        <w:t>r</w:t>
      </w:r>
      <w:r>
        <w:rPr>
          <w:sz w:val="24"/>
          <w:szCs w:val="24"/>
        </w:rPr>
        <w:t>sagt hat. Diese Tatsache kann auch durch das optimistische Gehabe der vertrieb</w:t>
      </w:r>
      <w:r>
        <w:rPr>
          <w:sz w:val="24"/>
          <w:szCs w:val="24"/>
        </w:rPr>
        <w:t>e</w:t>
      </w:r>
      <w:r w:rsidR="008C683D">
        <w:rPr>
          <w:sz w:val="24"/>
          <w:szCs w:val="24"/>
        </w:rPr>
        <w:t>n</w:t>
      </w:r>
      <w:r>
        <w:rPr>
          <w:sz w:val="24"/>
          <w:szCs w:val="24"/>
        </w:rPr>
        <w:t>en deutschen Schriftsteller nicht aus der Welt geschafft werden, nicht einmal durch die verspäte</w:t>
      </w:r>
      <w:r w:rsidR="008C683D">
        <w:rPr>
          <w:sz w:val="24"/>
          <w:szCs w:val="24"/>
        </w:rPr>
        <w:t>t</w:t>
      </w:r>
      <w:r>
        <w:rPr>
          <w:sz w:val="24"/>
          <w:szCs w:val="24"/>
        </w:rPr>
        <w:t xml:space="preserve">e Anklage, die der Nobelpreisträger </w:t>
      </w:r>
      <w:r w:rsidR="006D71D6">
        <w:rPr>
          <w:sz w:val="24"/>
          <w:szCs w:val="24"/>
        </w:rPr>
        <w:t>T</w:t>
      </w:r>
      <w:r>
        <w:rPr>
          <w:sz w:val="24"/>
          <w:szCs w:val="24"/>
        </w:rPr>
        <w:t>homas Mann gegen das Regime erhoben hat, die aber eigentlich nichts anderes ist als eine edle und wü</w:t>
      </w:r>
      <w:r>
        <w:rPr>
          <w:sz w:val="24"/>
          <w:szCs w:val="24"/>
        </w:rPr>
        <w:t>r</w:t>
      </w:r>
      <w:r>
        <w:rPr>
          <w:sz w:val="24"/>
          <w:szCs w:val="24"/>
        </w:rPr>
        <w:t>devolle Selbstanklage.“</w:t>
      </w:r>
      <w:r>
        <w:rPr>
          <w:rStyle w:val="Funotenzeichen"/>
          <w:sz w:val="24"/>
          <w:szCs w:val="24"/>
        </w:rPr>
        <w:footnoteReference w:id="5"/>
      </w:r>
    </w:p>
    <w:p w:rsidR="002742FD" w:rsidRDefault="00964D82" w:rsidP="001D2105">
      <w:pPr>
        <w:spacing w:after="0"/>
        <w:jc w:val="both"/>
        <w:rPr>
          <w:sz w:val="24"/>
          <w:szCs w:val="24"/>
        </w:rPr>
      </w:pPr>
      <w:r>
        <w:rPr>
          <w:sz w:val="24"/>
          <w:szCs w:val="24"/>
        </w:rPr>
        <w:lastRenderedPageBreak/>
        <w:t xml:space="preserve">Das Versagen </w:t>
      </w:r>
      <w:r w:rsidR="00422A3A">
        <w:rPr>
          <w:sz w:val="24"/>
          <w:szCs w:val="24"/>
        </w:rPr>
        <w:t>besteht</w:t>
      </w:r>
      <w:r>
        <w:rPr>
          <w:sz w:val="24"/>
          <w:szCs w:val="24"/>
        </w:rPr>
        <w:t xml:space="preserve"> für </w:t>
      </w:r>
      <w:r w:rsidR="006F580B">
        <w:rPr>
          <w:sz w:val="24"/>
          <w:szCs w:val="24"/>
        </w:rPr>
        <w:t>Roth</w:t>
      </w:r>
      <w:r w:rsidR="00422A3A">
        <w:rPr>
          <w:sz w:val="24"/>
          <w:szCs w:val="24"/>
        </w:rPr>
        <w:t xml:space="preserve"> </w:t>
      </w:r>
      <w:r w:rsidR="00257A7D">
        <w:rPr>
          <w:sz w:val="24"/>
          <w:szCs w:val="24"/>
        </w:rPr>
        <w:t>nicht</w:t>
      </w:r>
      <w:r w:rsidR="00422A3A">
        <w:rPr>
          <w:sz w:val="24"/>
          <w:szCs w:val="24"/>
        </w:rPr>
        <w:t xml:space="preserve"> darin, dass man mit</w:t>
      </w:r>
      <w:r>
        <w:rPr>
          <w:sz w:val="24"/>
          <w:szCs w:val="24"/>
        </w:rPr>
        <w:t xml:space="preserve"> nicht </w:t>
      </w:r>
      <w:r w:rsidR="00422A3A">
        <w:rPr>
          <w:sz w:val="24"/>
          <w:szCs w:val="24"/>
        </w:rPr>
        <w:t xml:space="preserve">genügender Intensität </w:t>
      </w:r>
      <w:r w:rsidR="003F6E3B">
        <w:rPr>
          <w:sz w:val="24"/>
          <w:szCs w:val="24"/>
        </w:rPr>
        <w:t xml:space="preserve">oder zu spät </w:t>
      </w:r>
      <w:r w:rsidR="00422A3A">
        <w:rPr>
          <w:sz w:val="24"/>
          <w:szCs w:val="24"/>
        </w:rPr>
        <w:t xml:space="preserve">Anklage </w:t>
      </w:r>
      <w:r w:rsidR="00735C47">
        <w:rPr>
          <w:sz w:val="24"/>
          <w:szCs w:val="24"/>
        </w:rPr>
        <w:t xml:space="preserve">gegen das Regime </w:t>
      </w:r>
      <w:r w:rsidR="00422A3A">
        <w:rPr>
          <w:sz w:val="24"/>
          <w:szCs w:val="24"/>
        </w:rPr>
        <w:t>erhoben habe, sondern dass man die</w:t>
      </w:r>
      <w:r w:rsidR="00735C47">
        <w:rPr>
          <w:sz w:val="24"/>
          <w:szCs w:val="24"/>
        </w:rPr>
        <w:t xml:space="preserve"> Anklage</w:t>
      </w:r>
      <w:r w:rsidR="00422A3A">
        <w:rPr>
          <w:sz w:val="24"/>
          <w:szCs w:val="24"/>
        </w:rPr>
        <w:t xml:space="preserve"> mit „optimist</w:t>
      </w:r>
      <w:r w:rsidR="00422A3A">
        <w:rPr>
          <w:sz w:val="24"/>
          <w:szCs w:val="24"/>
        </w:rPr>
        <w:t>i</w:t>
      </w:r>
      <w:r w:rsidR="00422A3A">
        <w:rPr>
          <w:sz w:val="24"/>
          <w:szCs w:val="24"/>
        </w:rPr>
        <w:t>sche</w:t>
      </w:r>
      <w:r w:rsidR="00735C47">
        <w:rPr>
          <w:sz w:val="24"/>
          <w:szCs w:val="24"/>
        </w:rPr>
        <w:t>m</w:t>
      </w:r>
      <w:r w:rsidR="00422A3A">
        <w:rPr>
          <w:sz w:val="24"/>
          <w:szCs w:val="24"/>
        </w:rPr>
        <w:t xml:space="preserve"> Gehabe“ verbunden habe. </w:t>
      </w:r>
      <w:r w:rsidR="00735C47">
        <w:rPr>
          <w:sz w:val="24"/>
          <w:szCs w:val="24"/>
        </w:rPr>
        <w:t xml:space="preserve">Statt sich die eigene, mehr oder weniger hoffnungslose Lage ungeschminkt vor Augen zu führen, </w:t>
      </w:r>
      <w:r w:rsidR="00422A3A">
        <w:rPr>
          <w:sz w:val="24"/>
          <w:szCs w:val="24"/>
        </w:rPr>
        <w:t>habe m</w:t>
      </w:r>
      <w:r w:rsidR="00735C47">
        <w:rPr>
          <w:sz w:val="24"/>
          <w:szCs w:val="24"/>
        </w:rPr>
        <w:t>an zum</w:t>
      </w:r>
      <w:r w:rsidR="00422A3A">
        <w:rPr>
          <w:sz w:val="24"/>
          <w:szCs w:val="24"/>
        </w:rPr>
        <w:t xml:space="preserve"> Optimismus </w:t>
      </w:r>
      <w:r w:rsidR="00735C47">
        <w:rPr>
          <w:sz w:val="24"/>
          <w:szCs w:val="24"/>
        </w:rPr>
        <w:t>gegriffen:</w:t>
      </w:r>
      <w:r w:rsidR="00422A3A">
        <w:rPr>
          <w:sz w:val="24"/>
          <w:szCs w:val="24"/>
        </w:rPr>
        <w:t xml:space="preserve"> </w:t>
      </w:r>
      <w:r w:rsidR="00735C47">
        <w:rPr>
          <w:sz w:val="24"/>
          <w:szCs w:val="24"/>
        </w:rPr>
        <w:t>auf die Zuversicht</w:t>
      </w:r>
      <w:r w:rsidR="003F6E3B">
        <w:rPr>
          <w:sz w:val="24"/>
          <w:szCs w:val="24"/>
        </w:rPr>
        <w:t xml:space="preserve"> ver</w:t>
      </w:r>
      <w:r w:rsidR="003101E0">
        <w:rPr>
          <w:sz w:val="24"/>
          <w:szCs w:val="24"/>
        </w:rPr>
        <w:t>t</w:t>
      </w:r>
      <w:r w:rsidR="003F6E3B">
        <w:rPr>
          <w:sz w:val="24"/>
          <w:szCs w:val="24"/>
        </w:rPr>
        <w:t>raut</w:t>
      </w:r>
      <w:r w:rsidR="00735C47">
        <w:rPr>
          <w:sz w:val="24"/>
          <w:szCs w:val="24"/>
        </w:rPr>
        <w:t xml:space="preserve">, die politische Situation werde sich in Kürze ändern und das Regime werde an den eigenen Widersprüchen kollabieren. </w:t>
      </w:r>
    </w:p>
    <w:p w:rsidR="008C683D" w:rsidRDefault="002742FD" w:rsidP="001D2105">
      <w:pPr>
        <w:spacing w:after="0"/>
        <w:jc w:val="both"/>
        <w:rPr>
          <w:sz w:val="24"/>
          <w:szCs w:val="24"/>
        </w:rPr>
      </w:pPr>
      <w:r>
        <w:rPr>
          <w:sz w:val="24"/>
          <w:szCs w:val="24"/>
        </w:rPr>
        <w:tab/>
        <w:t>Ausgangspunkte für Roths Argumentation sind die finanzielle Situation der Schrif</w:t>
      </w:r>
      <w:r>
        <w:rPr>
          <w:sz w:val="24"/>
          <w:szCs w:val="24"/>
        </w:rPr>
        <w:t>t</w:t>
      </w:r>
      <w:r>
        <w:rPr>
          <w:sz w:val="24"/>
          <w:szCs w:val="24"/>
        </w:rPr>
        <w:t>steller und die Auswirkungen der daraus resultierenden Unsicherheit auf die politische Ei</w:t>
      </w:r>
      <w:r>
        <w:rPr>
          <w:sz w:val="24"/>
          <w:szCs w:val="24"/>
        </w:rPr>
        <w:t>n</w:t>
      </w:r>
      <w:r>
        <w:rPr>
          <w:sz w:val="24"/>
          <w:szCs w:val="24"/>
        </w:rPr>
        <w:t xml:space="preserve">schätzung der gegenwärtigen Situation. </w:t>
      </w:r>
      <w:r w:rsidR="00964D82">
        <w:rPr>
          <w:sz w:val="24"/>
          <w:szCs w:val="24"/>
        </w:rPr>
        <w:t xml:space="preserve">Die </w:t>
      </w:r>
      <w:r w:rsidR="00422A3A">
        <w:rPr>
          <w:sz w:val="24"/>
          <w:szCs w:val="24"/>
        </w:rPr>
        <w:t xml:space="preserve">aus Deutschland vertriebenen </w:t>
      </w:r>
      <w:r w:rsidR="00964D82">
        <w:rPr>
          <w:sz w:val="24"/>
          <w:szCs w:val="24"/>
        </w:rPr>
        <w:t xml:space="preserve">Schriftsteller </w:t>
      </w:r>
      <w:r w:rsidR="003F6E3B">
        <w:rPr>
          <w:sz w:val="24"/>
          <w:szCs w:val="24"/>
        </w:rPr>
        <w:t>wü</w:t>
      </w:r>
      <w:r w:rsidR="003F6E3B">
        <w:rPr>
          <w:sz w:val="24"/>
          <w:szCs w:val="24"/>
        </w:rPr>
        <w:t>r</w:t>
      </w:r>
      <w:r w:rsidR="003F6E3B">
        <w:rPr>
          <w:sz w:val="24"/>
          <w:szCs w:val="24"/>
        </w:rPr>
        <w:t>d</w:t>
      </w:r>
      <w:r w:rsidR="00422A3A">
        <w:rPr>
          <w:sz w:val="24"/>
          <w:szCs w:val="24"/>
        </w:rPr>
        <w:t xml:space="preserve">en in Wahrheit </w:t>
      </w:r>
      <w:r w:rsidR="003F6E3B">
        <w:rPr>
          <w:sz w:val="24"/>
          <w:szCs w:val="24"/>
        </w:rPr>
        <w:t>– so Roth – o</w:t>
      </w:r>
      <w:r w:rsidR="00422A3A">
        <w:rPr>
          <w:sz w:val="24"/>
          <w:szCs w:val="24"/>
        </w:rPr>
        <w:t>hne</w:t>
      </w:r>
      <w:r w:rsidR="00964D82">
        <w:rPr>
          <w:sz w:val="24"/>
          <w:szCs w:val="24"/>
        </w:rPr>
        <w:t xml:space="preserve"> </w:t>
      </w:r>
      <w:r w:rsidR="00735C47">
        <w:rPr>
          <w:sz w:val="24"/>
          <w:szCs w:val="24"/>
        </w:rPr>
        <w:t xml:space="preserve">zulängliche </w:t>
      </w:r>
      <w:r w:rsidR="00964D82">
        <w:rPr>
          <w:sz w:val="24"/>
          <w:szCs w:val="24"/>
        </w:rPr>
        <w:t>berufliche Basis</w:t>
      </w:r>
      <w:r w:rsidR="003F6E3B">
        <w:rPr>
          <w:sz w:val="24"/>
          <w:szCs w:val="24"/>
        </w:rPr>
        <w:t xml:space="preserve"> agieren</w:t>
      </w:r>
      <w:r w:rsidR="00422A3A">
        <w:rPr>
          <w:sz w:val="24"/>
          <w:szCs w:val="24"/>
        </w:rPr>
        <w:t>: ohne</w:t>
      </w:r>
      <w:r w:rsidR="00BC2C30">
        <w:rPr>
          <w:sz w:val="24"/>
          <w:szCs w:val="24"/>
        </w:rPr>
        <w:t xml:space="preserve"> </w:t>
      </w:r>
      <w:r w:rsidR="00735C47">
        <w:rPr>
          <w:sz w:val="24"/>
          <w:szCs w:val="24"/>
        </w:rPr>
        <w:t xml:space="preserve">Unterstützung </w:t>
      </w:r>
      <w:r w:rsidR="00F85EDC">
        <w:rPr>
          <w:sz w:val="24"/>
          <w:szCs w:val="24"/>
        </w:rPr>
        <w:t xml:space="preserve">durch </w:t>
      </w:r>
      <w:r w:rsidR="00735C47">
        <w:rPr>
          <w:sz w:val="24"/>
          <w:szCs w:val="24"/>
        </w:rPr>
        <w:t>ein potente</w:t>
      </w:r>
      <w:r w:rsidR="00F85EDC">
        <w:rPr>
          <w:sz w:val="24"/>
          <w:szCs w:val="24"/>
        </w:rPr>
        <w:t>s</w:t>
      </w:r>
      <w:r w:rsidR="0030298C">
        <w:rPr>
          <w:sz w:val="24"/>
          <w:szCs w:val="24"/>
        </w:rPr>
        <w:t xml:space="preserve"> </w:t>
      </w:r>
      <w:r w:rsidR="00964D82">
        <w:rPr>
          <w:sz w:val="24"/>
          <w:szCs w:val="24"/>
        </w:rPr>
        <w:t>Verlag</w:t>
      </w:r>
      <w:r w:rsidR="00BC2C30">
        <w:rPr>
          <w:sz w:val="24"/>
          <w:szCs w:val="24"/>
        </w:rPr>
        <w:t>ssystem</w:t>
      </w:r>
      <w:r w:rsidR="00257A7D">
        <w:rPr>
          <w:sz w:val="24"/>
          <w:szCs w:val="24"/>
        </w:rPr>
        <w:t xml:space="preserve">. Der politische Optimismus </w:t>
      </w:r>
      <w:r>
        <w:rPr>
          <w:sz w:val="24"/>
          <w:szCs w:val="24"/>
        </w:rPr>
        <w:t xml:space="preserve">der Schriftsteller </w:t>
      </w:r>
      <w:r w:rsidR="00257A7D">
        <w:rPr>
          <w:sz w:val="24"/>
          <w:szCs w:val="24"/>
        </w:rPr>
        <w:t xml:space="preserve">sei </w:t>
      </w:r>
      <w:r w:rsidR="00690470">
        <w:rPr>
          <w:sz w:val="24"/>
          <w:szCs w:val="24"/>
        </w:rPr>
        <w:t xml:space="preserve">deshalb </w:t>
      </w:r>
      <w:r w:rsidR="00257A7D">
        <w:rPr>
          <w:sz w:val="24"/>
          <w:szCs w:val="24"/>
        </w:rPr>
        <w:t xml:space="preserve">im Grunde nichts anderes als die </w:t>
      </w:r>
      <w:r w:rsidR="00690470">
        <w:rPr>
          <w:sz w:val="24"/>
          <w:szCs w:val="24"/>
        </w:rPr>
        <w:t xml:space="preserve">verzweifelte </w:t>
      </w:r>
      <w:r w:rsidR="00257A7D">
        <w:rPr>
          <w:sz w:val="24"/>
          <w:szCs w:val="24"/>
        </w:rPr>
        <w:t>Hoffnung</w:t>
      </w:r>
      <w:r w:rsidR="00F85EDC">
        <w:rPr>
          <w:sz w:val="24"/>
          <w:szCs w:val="24"/>
        </w:rPr>
        <w:t xml:space="preserve">, </w:t>
      </w:r>
      <w:r w:rsidR="00690470">
        <w:rPr>
          <w:sz w:val="24"/>
          <w:szCs w:val="24"/>
        </w:rPr>
        <w:t xml:space="preserve">die wirtschaftliche Situation </w:t>
      </w:r>
      <w:r w:rsidR="00F85EDC">
        <w:rPr>
          <w:sz w:val="24"/>
          <w:szCs w:val="24"/>
        </w:rPr>
        <w:t xml:space="preserve">werde sich </w:t>
      </w:r>
      <w:r w:rsidR="003F6E3B">
        <w:rPr>
          <w:sz w:val="24"/>
          <w:szCs w:val="24"/>
        </w:rPr>
        <w:t>besse</w:t>
      </w:r>
      <w:r w:rsidR="00690470">
        <w:rPr>
          <w:sz w:val="24"/>
          <w:szCs w:val="24"/>
        </w:rPr>
        <w:t>rn</w:t>
      </w:r>
      <w:r w:rsidR="00257A7D">
        <w:rPr>
          <w:sz w:val="24"/>
          <w:szCs w:val="24"/>
        </w:rPr>
        <w:t xml:space="preserve">. </w:t>
      </w:r>
      <w:r w:rsidR="0030298C">
        <w:rPr>
          <w:sz w:val="24"/>
          <w:szCs w:val="24"/>
        </w:rPr>
        <w:t>D</w:t>
      </w:r>
      <w:r w:rsidR="00F85EDC">
        <w:rPr>
          <w:sz w:val="24"/>
          <w:szCs w:val="24"/>
        </w:rPr>
        <w:t>azu bestehe jedoch kein Anlass; genau dieser Optimismus verstelle den Blick auf die Realität – sowohl auf die Realität der eigenen Situation als auch auf die Wahrscheinlic</w:t>
      </w:r>
      <w:r w:rsidR="00F85EDC">
        <w:rPr>
          <w:sz w:val="24"/>
          <w:szCs w:val="24"/>
        </w:rPr>
        <w:t>h</w:t>
      </w:r>
      <w:r w:rsidR="00F85EDC">
        <w:rPr>
          <w:sz w:val="24"/>
          <w:szCs w:val="24"/>
        </w:rPr>
        <w:t>keit, dass das Dritte Reich für längere Zeit Bestand haben werde:</w:t>
      </w:r>
    </w:p>
    <w:p w:rsidR="008C683D" w:rsidRDefault="008C683D" w:rsidP="001D2105">
      <w:pPr>
        <w:spacing w:after="0"/>
        <w:ind w:left="1134"/>
        <w:jc w:val="both"/>
        <w:rPr>
          <w:sz w:val="24"/>
          <w:szCs w:val="24"/>
        </w:rPr>
      </w:pPr>
      <w:r w:rsidRPr="00AE7DEE">
        <w:rPr>
          <w:sz w:val="24"/>
          <w:szCs w:val="24"/>
        </w:rPr>
        <w:t>„Es gibt fünf oder sechs wohlhabende zahlende Verlage, die Bücher der Vertri</w:t>
      </w:r>
      <w:r w:rsidRPr="00AE7DEE">
        <w:rPr>
          <w:sz w:val="24"/>
          <w:szCs w:val="24"/>
        </w:rPr>
        <w:t>e</w:t>
      </w:r>
      <w:r w:rsidRPr="00AE7DEE">
        <w:rPr>
          <w:sz w:val="24"/>
          <w:szCs w:val="24"/>
        </w:rPr>
        <w:t xml:space="preserve">benen herausgeben. Das sind: </w:t>
      </w:r>
      <w:proofErr w:type="spellStart"/>
      <w:r w:rsidRPr="00AE7DEE">
        <w:rPr>
          <w:sz w:val="24"/>
          <w:szCs w:val="24"/>
        </w:rPr>
        <w:t>Querido</w:t>
      </w:r>
      <w:proofErr w:type="spellEnd"/>
      <w:r w:rsidRPr="00AE7DEE">
        <w:rPr>
          <w:sz w:val="24"/>
          <w:szCs w:val="24"/>
        </w:rPr>
        <w:t xml:space="preserve"> und </w:t>
      </w:r>
      <w:proofErr w:type="spellStart"/>
      <w:r w:rsidRPr="00AE7DEE">
        <w:rPr>
          <w:sz w:val="24"/>
          <w:szCs w:val="24"/>
        </w:rPr>
        <w:t>Allert</w:t>
      </w:r>
      <w:proofErr w:type="spellEnd"/>
      <w:r w:rsidRPr="00AE7DEE">
        <w:rPr>
          <w:sz w:val="24"/>
          <w:szCs w:val="24"/>
        </w:rPr>
        <w:t xml:space="preserve"> de Lange in Amsterdam, </w:t>
      </w:r>
      <w:proofErr w:type="spellStart"/>
      <w:r w:rsidRPr="00AE7DEE">
        <w:rPr>
          <w:sz w:val="24"/>
          <w:szCs w:val="24"/>
        </w:rPr>
        <w:t>O</w:t>
      </w:r>
      <w:r w:rsidRPr="00AE7DEE">
        <w:rPr>
          <w:sz w:val="24"/>
          <w:szCs w:val="24"/>
        </w:rPr>
        <w:t>precht</w:t>
      </w:r>
      <w:proofErr w:type="spellEnd"/>
      <w:r w:rsidRPr="00AE7DEE">
        <w:rPr>
          <w:sz w:val="24"/>
          <w:szCs w:val="24"/>
        </w:rPr>
        <w:t xml:space="preserve"> in Zürich, Editions du Carrefour in Paris und höchstens noch zwei namha</w:t>
      </w:r>
      <w:r w:rsidRPr="00AE7DEE">
        <w:rPr>
          <w:sz w:val="24"/>
          <w:szCs w:val="24"/>
        </w:rPr>
        <w:t>f</w:t>
      </w:r>
      <w:r w:rsidRPr="00AE7DEE">
        <w:rPr>
          <w:sz w:val="24"/>
          <w:szCs w:val="24"/>
        </w:rPr>
        <w:t>te Verlage in Prag.</w:t>
      </w:r>
      <w:r>
        <w:rPr>
          <w:sz w:val="24"/>
          <w:szCs w:val="24"/>
        </w:rPr>
        <w:t xml:space="preserve"> In Wien hat unlängst </w:t>
      </w:r>
      <w:proofErr w:type="spellStart"/>
      <w:r>
        <w:rPr>
          <w:sz w:val="24"/>
          <w:szCs w:val="24"/>
        </w:rPr>
        <w:t>Bermann</w:t>
      </w:r>
      <w:proofErr w:type="spellEnd"/>
      <w:r>
        <w:rPr>
          <w:sz w:val="24"/>
          <w:szCs w:val="24"/>
        </w:rPr>
        <w:t>-Fischer, Erbe des berühmten Verlegers Samuel Fischer in Berlin, einen neuen Verlag gegründet.</w:t>
      </w:r>
    </w:p>
    <w:p w:rsidR="008C683D" w:rsidRDefault="008C683D" w:rsidP="001D2105">
      <w:pPr>
        <w:spacing w:after="0"/>
        <w:ind w:left="1134"/>
        <w:jc w:val="both"/>
        <w:rPr>
          <w:sz w:val="24"/>
          <w:szCs w:val="24"/>
        </w:rPr>
      </w:pPr>
      <w:r w:rsidRPr="00AE7DEE">
        <w:rPr>
          <w:sz w:val="24"/>
          <w:szCs w:val="24"/>
        </w:rPr>
        <w:t>Aber alle diese Verlage bringen nur selten ihre Kosten herein. Ein deutscher Schriftsteller ist schon vor Hitler nicht ohne Vorschüsse ausgekommen, vor allem als ‚Neuling‘ brauchte er mindestens sechs Monate einen gesicherten Lebensu</w:t>
      </w:r>
      <w:r w:rsidRPr="00AE7DEE">
        <w:rPr>
          <w:sz w:val="24"/>
          <w:szCs w:val="24"/>
        </w:rPr>
        <w:t>n</w:t>
      </w:r>
      <w:r w:rsidRPr="00AE7DEE">
        <w:rPr>
          <w:sz w:val="24"/>
          <w:szCs w:val="24"/>
        </w:rPr>
        <w:t>terhalt, bevor er ein Buch abgeben konnte.“</w:t>
      </w:r>
      <w:r>
        <w:rPr>
          <w:rStyle w:val="Funotenzeichen"/>
          <w:sz w:val="24"/>
          <w:szCs w:val="24"/>
        </w:rPr>
        <w:footnoteReference w:id="6"/>
      </w:r>
      <w:r w:rsidR="00037CB7">
        <w:rPr>
          <w:sz w:val="24"/>
          <w:szCs w:val="24"/>
        </w:rPr>
        <w:t xml:space="preserve"> […]</w:t>
      </w:r>
    </w:p>
    <w:p w:rsidR="00037CB7" w:rsidRDefault="00037CB7" w:rsidP="001D2105">
      <w:pPr>
        <w:spacing w:after="0"/>
        <w:ind w:left="1134"/>
        <w:jc w:val="both"/>
        <w:rPr>
          <w:sz w:val="24"/>
          <w:szCs w:val="24"/>
        </w:rPr>
      </w:pPr>
      <w:r>
        <w:rPr>
          <w:sz w:val="24"/>
          <w:szCs w:val="24"/>
        </w:rPr>
        <w:t>„Aber das ist heute auch für alte, anerkannte Autoren unmöglich. Schriftsteller wie Heinrich Mann, Döblin und andere, gleichwertige, bekommen heute keine Vorschüsse. Schriftsteller, deren Bücher in Deutschland Auflagen von 40 000 e</w:t>
      </w:r>
      <w:r>
        <w:rPr>
          <w:sz w:val="24"/>
          <w:szCs w:val="24"/>
        </w:rPr>
        <w:t>r</w:t>
      </w:r>
      <w:r>
        <w:rPr>
          <w:sz w:val="24"/>
          <w:szCs w:val="24"/>
        </w:rPr>
        <w:t>reichten, haben heute höchstens Auflagen von 3000 bis 4000.</w:t>
      </w:r>
    </w:p>
    <w:p w:rsidR="00037CB7" w:rsidRDefault="00037CB7" w:rsidP="001D2105">
      <w:pPr>
        <w:spacing w:after="0"/>
        <w:ind w:left="1134"/>
        <w:jc w:val="both"/>
        <w:rPr>
          <w:sz w:val="24"/>
          <w:szCs w:val="24"/>
        </w:rPr>
      </w:pPr>
      <w:r>
        <w:rPr>
          <w:sz w:val="24"/>
          <w:szCs w:val="24"/>
        </w:rPr>
        <w:t>Die Tageszeitungen und Zeitschriften der vertriebenen Literatur, wie z.B. die ‚P</w:t>
      </w:r>
      <w:r>
        <w:rPr>
          <w:sz w:val="24"/>
          <w:szCs w:val="24"/>
        </w:rPr>
        <w:t>a</w:t>
      </w:r>
      <w:r>
        <w:rPr>
          <w:sz w:val="24"/>
          <w:szCs w:val="24"/>
        </w:rPr>
        <w:t>riser Tageszeitung‘, ‚Das Neue Tagebuch‘, ‚Die Weltbühne‘ und andere, bieten den Schrifts</w:t>
      </w:r>
      <w:r w:rsidR="00BC05CD">
        <w:rPr>
          <w:sz w:val="24"/>
          <w:szCs w:val="24"/>
        </w:rPr>
        <w:t>t</w:t>
      </w:r>
      <w:r>
        <w:rPr>
          <w:sz w:val="24"/>
          <w:szCs w:val="24"/>
        </w:rPr>
        <w:t>ellern keinerlei Möglichkeit, ihre materielle Existenz zu sichern. Di</w:t>
      </w:r>
      <w:r>
        <w:rPr>
          <w:sz w:val="24"/>
          <w:szCs w:val="24"/>
        </w:rPr>
        <w:t>e</w:t>
      </w:r>
      <w:r>
        <w:rPr>
          <w:sz w:val="24"/>
          <w:szCs w:val="24"/>
        </w:rPr>
        <w:t>se Blätter sind verhältnismäßig verbreitet, sie haben aber nur eine sehr begrenzte Zahlungsfähigkeit. Ihre Verbreitung steht in einem anormalen Verhältnis zu ihrer materiellen Basis.“</w:t>
      </w:r>
      <w:r>
        <w:rPr>
          <w:rStyle w:val="Funotenzeichen"/>
          <w:sz w:val="24"/>
          <w:szCs w:val="24"/>
        </w:rPr>
        <w:footnoteReference w:id="7"/>
      </w:r>
    </w:p>
    <w:p w:rsidR="008C683D" w:rsidRDefault="00F85EDC" w:rsidP="001D2105">
      <w:pPr>
        <w:spacing w:after="0"/>
        <w:jc w:val="both"/>
        <w:rPr>
          <w:sz w:val="24"/>
          <w:szCs w:val="24"/>
        </w:rPr>
      </w:pPr>
      <w:r>
        <w:rPr>
          <w:sz w:val="24"/>
          <w:szCs w:val="24"/>
        </w:rPr>
        <w:t>Ebenso</w:t>
      </w:r>
      <w:r w:rsidR="0030298C">
        <w:rPr>
          <w:sz w:val="24"/>
          <w:szCs w:val="24"/>
        </w:rPr>
        <w:t xml:space="preserve"> prekär verhält es sich mit der Honorierung</w:t>
      </w:r>
      <w:r w:rsidR="00037CB7">
        <w:rPr>
          <w:sz w:val="24"/>
          <w:szCs w:val="24"/>
        </w:rPr>
        <w:t xml:space="preserve"> aus Übersetzungen:</w:t>
      </w:r>
    </w:p>
    <w:p w:rsidR="00037CB7" w:rsidRDefault="00037CB7" w:rsidP="001D2105">
      <w:pPr>
        <w:spacing w:after="0"/>
        <w:ind w:left="1134"/>
        <w:jc w:val="both"/>
        <w:rPr>
          <w:sz w:val="24"/>
          <w:szCs w:val="24"/>
        </w:rPr>
      </w:pPr>
      <w:r>
        <w:rPr>
          <w:sz w:val="24"/>
          <w:szCs w:val="24"/>
        </w:rPr>
        <w:t xml:space="preserve">„Es stimmt, </w:t>
      </w:r>
      <w:proofErr w:type="spellStart"/>
      <w:r>
        <w:rPr>
          <w:sz w:val="24"/>
          <w:szCs w:val="24"/>
        </w:rPr>
        <w:t>daß</w:t>
      </w:r>
      <w:proofErr w:type="spellEnd"/>
      <w:r>
        <w:rPr>
          <w:sz w:val="24"/>
          <w:szCs w:val="24"/>
        </w:rPr>
        <w:t xml:space="preserve"> die Bücher der bekannten Schriftsteller in fast alle Kulturspr</w:t>
      </w:r>
      <w:r>
        <w:rPr>
          <w:sz w:val="24"/>
          <w:szCs w:val="24"/>
        </w:rPr>
        <w:t>a</w:t>
      </w:r>
      <w:r>
        <w:rPr>
          <w:sz w:val="24"/>
          <w:szCs w:val="24"/>
        </w:rPr>
        <w:t>chen übersetzt werden. Zahlen aber können nur Amerika und England, und auch dort müssen die Bücher ‚Glück haben‘. In Frankreich, Spanien, Italien, Polen, Ungarn und in den Balkanstaaten bringen die Übersetzungen der Bücher, wenn sie kein ‚sensationeller Erfolg‘ sind, nur ganz minimale Einkünfte.“</w:t>
      </w:r>
      <w:r>
        <w:rPr>
          <w:rStyle w:val="Funotenzeichen"/>
          <w:sz w:val="24"/>
          <w:szCs w:val="24"/>
        </w:rPr>
        <w:footnoteReference w:id="8"/>
      </w:r>
    </w:p>
    <w:p w:rsidR="0030298C" w:rsidRDefault="0030298C" w:rsidP="001D2105">
      <w:pPr>
        <w:spacing w:after="0"/>
        <w:jc w:val="both"/>
        <w:rPr>
          <w:sz w:val="24"/>
          <w:szCs w:val="24"/>
        </w:rPr>
      </w:pPr>
      <w:r>
        <w:rPr>
          <w:sz w:val="24"/>
          <w:szCs w:val="24"/>
        </w:rPr>
        <w:t xml:space="preserve">Die Folgen sind gravierend, und der Widerspruch zwischen </w:t>
      </w:r>
      <w:r w:rsidR="00690470">
        <w:rPr>
          <w:sz w:val="24"/>
          <w:szCs w:val="24"/>
        </w:rPr>
        <w:t xml:space="preserve">der hohen </w:t>
      </w:r>
      <w:r>
        <w:rPr>
          <w:sz w:val="24"/>
          <w:szCs w:val="24"/>
        </w:rPr>
        <w:t xml:space="preserve">Wertschätzung und </w:t>
      </w:r>
      <w:r w:rsidR="00690470">
        <w:rPr>
          <w:sz w:val="24"/>
          <w:szCs w:val="24"/>
        </w:rPr>
        <w:t xml:space="preserve">der geringen </w:t>
      </w:r>
      <w:r>
        <w:rPr>
          <w:sz w:val="24"/>
          <w:szCs w:val="24"/>
        </w:rPr>
        <w:t xml:space="preserve">Honorierung </w:t>
      </w:r>
      <w:r w:rsidR="00E87E8C">
        <w:rPr>
          <w:sz w:val="24"/>
          <w:szCs w:val="24"/>
        </w:rPr>
        <w:t xml:space="preserve">äußert </w:t>
      </w:r>
      <w:r>
        <w:rPr>
          <w:sz w:val="24"/>
          <w:szCs w:val="24"/>
        </w:rPr>
        <w:t>sich</w:t>
      </w:r>
      <w:r w:rsidR="00E87E8C">
        <w:rPr>
          <w:sz w:val="24"/>
          <w:szCs w:val="24"/>
        </w:rPr>
        <w:t xml:space="preserve"> bei den Betroffenen in Form des Schwankens zwischen </w:t>
      </w:r>
      <w:r w:rsidR="002742FD">
        <w:rPr>
          <w:sz w:val="24"/>
          <w:szCs w:val="24"/>
        </w:rPr>
        <w:lastRenderedPageBreak/>
        <w:t xml:space="preserve">realitätsfernem Optimismus und </w:t>
      </w:r>
      <w:r w:rsidR="00BC2C30">
        <w:rPr>
          <w:sz w:val="24"/>
          <w:szCs w:val="24"/>
        </w:rPr>
        <w:t>ein</w:t>
      </w:r>
      <w:r w:rsidR="00E87E8C">
        <w:rPr>
          <w:sz w:val="24"/>
          <w:szCs w:val="24"/>
        </w:rPr>
        <w:t xml:space="preserve">em der Sache angemessenen </w:t>
      </w:r>
      <w:r w:rsidR="00BC2C30">
        <w:rPr>
          <w:sz w:val="24"/>
          <w:szCs w:val="24"/>
        </w:rPr>
        <w:t>Engagement</w:t>
      </w:r>
      <w:r w:rsidR="00CE7C57">
        <w:rPr>
          <w:sz w:val="24"/>
          <w:szCs w:val="24"/>
        </w:rPr>
        <w:t xml:space="preserve">. Der nahezu aussichtslose Kampf um die materielle Lebenssicherung </w:t>
      </w:r>
      <w:r w:rsidR="00BC2C30">
        <w:rPr>
          <w:sz w:val="24"/>
          <w:szCs w:val="24"/>
        </w:rPr>
        <w:t>affizier</w:t>
      </w:r>
      <w:r w:rsidR="00CE7C57">
        <w:rPr>
          <w:sz w:val="24"/>
          <w:szCs w:val="24"/>
        </w:rPr>
        <w:t>t den Realitätsbezug</w:t>
      </w:r>
      <w:r w:rsidR="00F87231">
        <w:rPr>
          <w:sz w:val="24"/>
          <w:szCs w:val="24"/>
        </w:rPr>
        <w:t>. D</w:t>
      </w:r>
      <w:r w:rsidR="008105ED">
        <w:rPr>
          <w:sz w:val="24"/>
          <w:szCs w:val="24"/>
        </w:rPr>
        <w:t>iese</w:t>
      </w:r>
      <w:r w:rsidR="00F87231">
        <w:rPr>
          <w:sz w:val="24"/>
          <w:szCs w:val="24"/>
        </w:rPr>
        <w:t xml:space="preserve"> Diskrepanz</w:t>
      </w:r>
      <w:r w:rsidR="008105ED">
        <w:rPr>
          <w:sz w:val="24"/>
          <w:szCs w:val="24"/>
        </w:rPr>
        <w:t xml:space="preserve"> aber</w:t>
      </w:r>
      <w:r w:rsidR="00F87231">
        <w:rPr>
          <w:sz w:val="24"/>
          <w:szCs w:val="24"/>
        </w:rPr>
        <w:t xml:space="preserve"> wird nicht wahrgenommen</w:t>
      </w:r>
      <w:r w:rsidR="00037CB7">
        <w:rPr>
          <w:sz w:val="24"/>
          <w:szCs w:val="24"/>
        </w:rPr>
        <w:t xml:space="preserve">: </w:t>
      </w:r>
    </w:p>
    <w:p w:rsidR="00037CB7" w:rsidRDefault="00037CB7" w:rsidP="001D2105">
      <w:pPr>
        <w:spacing w:after="0"/>
        <w:ind w:left="1134"/>
        <w:jc w:val="both"/>
        <w:rPr>
          <w:sz w:val="24"/>
          <w:szCs w:val="24"/>
        </w:rPr>
      </w:pPr>
      <w:r>
        <w:rPr>
          <w:sz w:val="24"/>
          <w:szCs w:val="24"/>
        </w:rPr>
        <w:t>„Es besteht eine enorme Diskrepanz zwischen dem Klang der vertriebenen Namen und ihrer materiellen Situation. Man schätzt den Autor, überschätz</w:t>
      </w:r>
      <w:r w:rsidR="0030298C">
        <w:rPr>
          <w:sz w:val="24"/>
          <w:szCs w:val="24"/>
        </w:rPr>
        <w:t>t</w:t>
      </w:r>
      <w:r>
        <w:rPr>
          <w:sz w:val="24"/>
          <w:szCs w:val="24"/>
        </w:rPr>
        <w:t xml:space="preserve"> ihn sogar manchmal – aber man entlohnt ihn nicht.“</w:t>
      </w:r>
      <w:r>
        <w:rPr>
          <w:rStyle w:val="Funotenzeichen"/>
          <w:sz w:val="24"/>
          <w:szCs w:val="24"/>
        </w:rPr>
        <w:footnoteReference w:id="9"/>
      </w:r>
    </w:p>
    <w:p w:rsidR="00037CB7" w:rsidRDefault="00037CB7" w:rsidP="001D2105">
      <w:pPr>
        <w:spacing w:after="0"/>
        <w:jc w:val="both"/>
        <w:rPr>
          <w:sz w:val="24"/>
          <w:szCs w:val="24"/>
        </w:rPr>
      </w:pPr>
      <w:r>
        <w:rPr>
          <w:sz w:val="24"/>
          <w:szCs w:val="24"/>
        </w:rPr>
        <w:t xml:space="preserve">Ganz anders </w:t>
      </w:r>
      <w:r w:rsidR="003F6E3B">
        <w:rPr>
          <w:sz w:val="24"/>
          <w:szCs w:val="24"/>
        </w:rPr>
        <w:t>sei</w:t>
      </w:r>
      <w:r>
        <w:rPr>
          <w:sz w:val="24"/>
          <w:szCs w:val="24"/>
        </w:rPr>
        <w:t xml:space="preserve"> die Situation der Emigranten im 19. Jahrhundert</w:t>
      </w:r>
      <w:r w:rsidR="003F6E3B">
        <w:rPr>
          <w:sz w:val="24"/>
          <w:szCs w:val="24"/>
        </w:rPr>
        <w:t xml:space="preserve"> gewesen</w:t>
      </w:r>
      <w:r w:rsidR="00690470">
        <w:rPr>
          <w:sz w:val="24"/>
          <w:szCs w:val="24"/>
        </w:rPr>
        <w:t>. Bei ihnen war z</w:t>
      </w:r>
      <w:r w:rsidR="00690470">
        <w:rPr>
          <w:sz w:val="24"/>
          <w:szCs w:val="24"/>
        </w:rPr>
        <w:t>u</w:t>
      </w:r>
      <w:r w:rsidR="00690470">
        <w:rPr>
          <w:sz w:val="24"/>
          <w:szCs w:val="24"/>
        </w:rPr>
        <w:t>mindest ein Teil des Lebensunterhalts gesichert</w:t>
      </w:r>
      <w:r>
        <w:rPr>
          <w:sz w:val="24"/>
          <w:szCs w:val="24"/>
        </w:rPr>
        <w:t>:</w:t>
      </w:r>
    </w:p>
    <w:p w:rsidR="00037CB7" w:rsidRDefault="00254AAA" w:rsidP="001D2105">
      <w:pPr>
        <w:spacing w:after="0"/>
        <w:ind w:left="1134"/>
        <w:jc w:val="both"/>
        <w:rPr>
          <w:sz w:val="24"/>
          <w:szCs w:val="24"/>
        </w:rPr>
      </w:pPr>
      <w:r w:rsidRPr="00AE7DEE">
        <w:rPr>
          <w:sz w:val="24"/>
          <w:szCs w:val="24"/>
        </w:rPr>
        <w:t xml:space="preserve">„Heine und </w:t>
      </w:r>
      <w:proofErr w:type="spellStart"/>
      <w:r w:rsidRPr="00AE7DEE">
        <w:rPr>
          <w:sz w:val="24"/>
          <w:szCs w:val="24"/>
        </w:rPr>
        <w:t>Börne</w:t>
      </w:r>
      <w:proofErr w:type="spellEnd"/>
      <w:r w:rsidRPr="00AE7DEE">
        <w:rPr>
          <w:sz w:val="24"/>
          <w:szCs w:val="24"/>
        </w:rPr>
        <w:t xml:space="preserve"> haben Honorare aus Deutschland erhalten, Chateaubriand, Vi</w:t>
      </w:r>
      <w:r w:rsidRPr="00AE7DEE">
        <w:rPr>
          <w:sz w:val="24"/>
          <w:szCs w:val="24"/>
        </w:rPr>
        <w:t>c</w:t>
      </w:r>
      <w:r w:rsidRPr="00AE7DEE">
        <w:rPr>
          <w:sz w:val="24"/>
          <w:szCs w:val="24"/>
        </w:rPr>
        <w:t>tor Hugo und George Sand aus Frankreich.“</w:t>
      </w:r>
      <w:r>
        <w:rPr>
          <w:rStyle w:val="Funotenzeichen"/>
          <w:sz w:val="24"/>
          <w:szCs w:val="24"/>
        </w:rPr>
        <w:footnoteReference w:id="10"/>
      </w:r>
      <w:r w:rsidRPr="00AE7DEE">
        <w:rPr>
          <w:sz w:val="24"/>
          <w:szCs w:val="24"/>
        </w:rPr>
        <w:t xml:space="preserve"> </w:t>
      </w:r>
      <w:r w:rsidR="00FB2F78">
        <w:rPr>
          <w:sz w:val="24"/>
          <w:szCs w:val="24"/>
        </w:rPr>
        <w:t>[…]</w:t>
      </w:r>
    </w:p>
    <w:p w:rsidR="00FB2F78" w:rsidRDefault="00FB2F78" w:rsidP="001D2105">
      <w:pPr>
        <w:spacing w:after="0"/>
        <w:ind w:left="1134"/>
        <w:jc w:val="both"/>
        <w:rPr>
          <w:sz w:val="24"/>
          <w:szCs w:val="24"/>
        </w:rPr>
      </w:pPr>
      <w:r>
        <w:rPr>
          <w:sz w:val="24"/>
          <w:szCs w:val="24"/>
        </w:rPr>
        <w:t xml:space="preserve">„Die Bücher der Schriftsteller, die damals in der Fremde leben </w:t>
      </w:r>
      <w:proofErr w:type="spellStart"/>
      <w:r>
        <w:rPr>
          <w:sz w:val="24"/>
          <w:szCs w:val="24"/>
        </w:rPr>
        <w:t>mußten</w:t>
      </w:r>
      <w:proofErr w:type="spellEnd"/>
      <w:r>
        <w:rPr>
          <w:sz w:val="24"/>
          <w:szCs w:val="24"/>
        </w:rPr>
        <w:t xml:space="preserve">, wurden in der Heimat herausgegeben, honoriert, gelesen und verbreitet. Vertrieben war nur der Autor – als Person. Seine Werke konnten aber sogar während der dunkelsten Zensur unter Napoleon oder Metternich in der Heimat erscheinen, </w:t>
      </w:r>
      <w:proofErr w:type="spellStart"/>
      <w:r>
        <w:rPr>
          <w:sz w:val="24"/>
          <w:szCs w:val="24"/>
        </w:rPr>
        <w:t>Sowjetrußland</w:t>
      </w:r>
      <w:proofErr w:type="spellEnd"/>
      <w:r w:rsidR="00690470">
        <w:rPr>
          <w:sz w:val="24"/>
          <w:szCs w:val="24"/>
        </w:rPr>
        <w:t xml:space="preserve"> [sic!]</w:t>
      </w:r>
      <w:r>
        <w:rPr>
          <w:sz w:val="24"/>
          <w:szCs w:val="24"/>
        </w:rPr>
        <w:t>, Mussolini-Italien und Hitlerdeutschland haben die Schriftsteller nicht nur physisch vertrieben, sondern auch geistig.“</w:t>
      </w:r>
      <w:r>
        <w:rPr>
          <w:rStyle w:val="Funotenzeichen"/>
          <w:sz w:val="24"/>
          <w:szCs w:val="24"/>
        </w:rPr>
        <w:footnoteReference w:id="11"/>
      </w:r>
    </w:p>
    <w:p w:rsidR="00FB2F78" w:rsidRDefault="00FB2F78" w:rsidP="001D2105">
      <w:pPr>
        <w:spacing w:after="0"/>
        <w:jc w:val="both"/>
        <w:rPr>
          <w:sz w:val="24"/>
          <w:szCs w:val="24"/>
        </w:rPr>
      </w:pPr>
      <w:r>
        <w:rPr>
          <w:sz w:val="24"/>
          <w:szCs w:val="24"/>
        </w:rPr>
        <w:t xml:space="preserve">Aus dieser </w:t>
      </w:r>
      <w:r w:rsidRPr="003F6E3B">
        <w:rPr>
          <w:i/>
          <w:sz w:val="24"/>
          <w:szCs w:val="24"/>
        </w:rPr>
        <w:t>physischen wie</w:t>
      </w:r>
      <w:r>
        <w:rPr>
          <w:sz w:val="24"/>
          <w:szCs w:val="24"/>
        </w:rPr>
        <w:t xml:space="preserve"> </w:t>
      </w:r>
      <w:r>
        <w:rPr>
          <w:i/>
          <w:sz w:val="24"/>
          <w:szCs w:val="24"/>
        </w:rPr>
        <w:t>geistigen</w:t>
      </w:r>
      <w:r>
        <w:rPr>
          <w:sz w:val="24"/>
          <w:szCs w:val="24"/>
        </w:rPr>
        <w:t xml:space="preserve"> Vertreibung resultiert für Roth die Misere der Schriftste</w:t>
      </w:r>
      <w:r>
        <w:rPr>
          <w:sz w:val="24"/>
          <w:szCs w:val="24"/>
        </w:rPr>
        <w:t>l</w:t>
      </w:r>
      <w:r>
        <w:rPr>
          <w:sz w:val="24"/>
          <w:szCs w:val="24"/>
        </w:rPr>
        <w:t>ler</w:t>
      </w:r>
      <w:r w:rsidR="00690470">
        <w:rPr>
          <w:sz w:val="24"/>
          <w:szCs w:val="24"/>
        </w:rPr>
        <w:t xml:space="preserve">. </w:t>
      </w:r>
      <w:r w:rsidR="00386B6F">
        <w:rPr>
          <w:sz w:val="24"/>
          <w:szCs w:val="24"/>
        </w:rPr>
        <w:t>Roth</w:t>
      </w:r>
      <w:r w:rsidR="00690470">
        <w:rPr>
          <w:sz w:val="24"/>
          <w:szCs w:val="24"/>
        </w:rPr>
        <w:t xml:space="preserve"> zeigt </w:t>
      </w:r>
      <w:r w:rsidR="00F87231">
        <w:rPr>
          <w:sz w:val="24"/>
          <w:szCs w:val="24"/>
        </w:rPr>
        <w:t>da</w:t>
      </w:r>
      <w:r w:rsidR="00690470">
        <w:rPr>
          <w:sz w:val="24"/>
          <w:szCs w:val="24"/>
        </w:rPr>
        <w:t>für nicht nur Verständnis, sondern äußert offen seine Bewunderung</w:t>
      </w:r>
      <w:r w:rsidR="003F6E3B">
        <w:rPr>
          <w:sz w:val="24"/>
          <w:szCs w:val="24"/>
        </w:rPr>
        <w:t xml:space="preserve"> dafür</w:t>
      </w:r>
      <w:r w:rsidR="00690470">
        <w:rPr>
          <w:sz w:val="24"/>
          <w:szCs w:val="24"/>
        </w:rPr>
        <w:t xml:space="preserve">, </w:t>
      </w:r>
      <w:r w:rsidR="00386B6F">
        <w:rPr>
          <w:sz w:val="24"/>
          <w:szCs w:val="24"/>
        </w:rPr>
        <w:t xml:space="preserve">dass </w:t>
      </w:r>
      <w:r w:rsidR="003F6E3B">
        <w:rPr>
          <w:sz w:val="24"/>
          <w:szCs w:val="24"/>
        </w:rPr>
        <w:t>trotzdem</w:t>
      </w:r>
      <w:r w:rsidR="00386B6F">
        <w:rPr>
          <w:sz w:val="24"/>
          <w:szCs w:val="24"/>
        </w:rPr>
        <w:t xml:space="preserve"> bedeutende Literatur </w:t>
      </w:r>
      <w:r w:rsidR="00BC05CD">
        <w:rPr>
          <w:sz w:val="24"/>
          <w:szCs w:val="24"/>
        </w:rPr>
        <w:t>entstanden ist</w:t>
      </w:r>
      <w:r>
        <w:rPr>
          <w:sz w:val="24"/>
          <w:szCs w:val="24"/>
        </w:rPr>
        <w:t>:</w:t>
      </w:r>
    </w:p>
    <w:p w:rsidR="00386B6F" w:rsidRDefault="00FB2F78" w:rsidP="001D2105">
      <w:pPr>
        <w:spacing w:after="0"/>
        <w:ind w:left="1134"/>
        <w:jc w:val="both"/>
        <w:rPr>
          <w:sz w:val="24"/>
          <w:szCs w:val="24"/>
        </w:rPr>
      </w:pPr>
      <w:r>
        <w:rPr>
          <w:sz w:val="24"/>
          <w:szCs w:val="24"/>
        </w:rPr>
        <w:t xml:space="preserve">„Die fremde Umgebung […], die materielle Notlage, die man in der Fremde viel stärker spürt, das schwache Echo, das das geschriebene Wort findet, die geistige Vereinsamung, die banalen Schwierigkeiten, denen man begegnet (wie z.B. der </w:t>
      </w:r>
      <w:proofErr w:type="spellStart"/>
      <w:r>
        <w:rPr>
          <w:sz w:val="24"/>
          <w:szCs w:val="24"/>
        </w:rPr>
        <w:t>Reisepaß</w:t>
      </w:r>
      <w:proofErr w:type="spellEnd"/>
      <w:r>
        <w:rPr>
          <w:sz w:val="24"/>
          <w:szCs w:val="24"/>
        </w:rPr>
        <w:t xml:space="preserve">, der seine Gültigkeit verliert und den man nicht erneuern kann, weil man in der Zwischenzeit die Staatsbürgerschaft ‚verloren‘ hat): All diese Momente sind verständlicherweise nicht geeignet, das literarische Schaffen zu fördern. Wenn der vertriebene deutsche Schriftsteller dennoch ein Buch schreibt, ist das in </w:t>
      </w:r>
      <w:r w:rsidR="00F87231">
        <w:rPr>
          <w:sz w:val="24"/>
          <w:szCs w:val="24"/>
        </w:rPr>
        <w:t>Wirklichkeit ein unterschätztes Heldentum.“</w:t>
      </w:r>
      <w:r w:rsidR="00F87231">
        <w:rPr>
          <w:rStyle w:val="Funotenzeichen"/>
          <w:sz w:val="24"/>
          <w:szCs w:val="24"/>
        </w:rPr>
        <w:footnoteReference w:id="12"/>
      </w:r>
    </w:p>
    <w:p w:rsidR="006118B6" w:rsidRDefault="00301C32" w:rsidP="001D2105">
      <w:pPr>
        <w:spacing w:after="0"/>
        <w:jc w:val="both"/>
        <w:rPr>
          <w:sz w:val="24"/>
          <w:szCs w:val="24"/>
        </w:rPr>
      </w:pPr>
      <w:r>
        <w:rPr>
          <w:sz w:val="24"/>
          <w:szCs w:val="24"/>
        </w:rPr>
        <w:t>Der</w:t>
      </w:r>
      <w:r w:rsidR="006118B6">
        <w:rPr>
          <w:sz w:val="24"/>
          <w:szCs w:val="24"/>
        </w:rPr>
        <w:t xml:space="preserve"> Artikel </w:t>
      </w:r>
      <w:r>
        <w:rPr>
          <w:sz w:val="24"/>
          <w:szCs w:val="24"/>
        </w:rPr>
        <w:t xml:space="preserve">endet </w:t>
      </w:r>
      <w:r w:rsidR="006118B6">
        <w:rPr>
          <w:sz w:val="24"/>
          <w:szCs w:val="24"/>
        </w:rPr>
        <w:t>mit einem Blick in die Zukunft</w:t>
      </w:r>
      <w:r w:rsidR="00C669FF">
        <w:rPr>
          <w:sz w:val="24"/>
          <w:szCs w:val="24"/>
        </w:rPr>
        <w:t xml:space="preserve">. </w:t>
      </w:r>
      <w:r w:rsidR="00C070F0">
        <w:rPr>
          <w:sz w:val="24"/>
          <w:szCs w:val="24"/>
        </w:rPr>
        <w:t>„Schwätzereien“, also oberflächliche Par</w:t>
      </w:r>
      <w:r w:rsidR="00C070F0">
        <w:rPr>
          <w:sz w:val="24"/>
          <w:szCs w:val="24"/>
        </w:rPr>
        <w:t>o</w:t>
      </w:r>
      <w:r w:rsidR="00C070F0">
        <w:rPr>
          <w:sz w:val="24"/>
          <w:szCs w:val="24"/>
        </w:rPr>
        <w:t>len, seien die d</w:t>
      </w:r>
      <w:r w:rsidR="00386B6F">
        <w:rPr>
          <w:sz w:val="24"/>
          <w:szCs w:val="24"/>
        </w:rPr>
        <w:t xml:space="preserve">ie </w:t>
      </w:r>
      <w:r w:rsidR="00487213">
        <w:rPr>
          <w:sz w:val="24"/>
          <w:szCs w:val="24"/>
        </w:rPr>
        <w:t xml:space="preserve">falsche </w:t>
      </w:r>
      <w:r w:rsidR="00386B6F">
        <w:rPr>
          <w:sz w:val="24"/>
          <w:szCs w:val="24"/>
        </w:rPr>
        <w:t>Waffe</w:t>
      </w:r>
      <w:r w:rsidR="00487213">
        <w:rPr>
          <w:sz w:val="24"/>
          <w:szCs w:val="24"/>
        </w:rPr>
        <w:t>. D</w:t>
      </w:r>
      <w:r w:rsidR="00386B6F">
        <w:rPr>
          <w:sz w:val="24"/>
          <w:szCs w:val="24"/>
        </w:rPr>
        <w:t xml:space="preserve">ie </w:t>
      </w:r>
      <w:r w:rsidR="00487213">
        <w:rPr>
          <w:sz w:val="24"/>
          <w:szCs w:val="24"/>
        </w:rPr>
        <w:t xml:space="preserve">tatsächliche Waffe </w:t>
      </w:r>
      <w:r w:rsidR="00D109B1">
        <w:rPr>
          <w:sz w:val="24"/>
          <w:szCs w:val="24"/>
        </w:rPr>
        <w:t>de</w:t>
      </w:r>
      <w:r w:rsidR="00487213">
        <w:rPr>
          <w:sz w:val="24"/>
          <w:szCs w:val="24"/>
        </w:rPr>
        <w:t>s</w:t>
      </w:r>
      <w:r w:rsidR="00D109B1">
        <w:rPr>
          <w:sz w:val="24"/>
          <w:szCs w:val="24"/>
        </w:rPr>
        <w:t xml:space="preserve"> </w:t>
      </w:r>
      <w:r w:rsidR="00386B6F">
        <w:rPr>
          <w:sz w:val="24"/>
          <w:szCs w:val="24"/>
        </w:rPr>
        <w:t>Schriftsteller</w:t>
      </w:r>
      <w:r w:rsidR="00487213">
        <w:rPr>
          <w:sz w:val="24"/>
          <w:szCs w:val="24"/>
        </w:rPr>
        <w:t>s</w:t>
      </w:r>
      <w:r w:rsidR="00386B6F">
        <w:rPr>
          <w:sz w:val="24"/>
          <w:szCs w:val="24"/>
        </w:rPr>
        <w:t xml:space="preserve"> </w:t>
      </w:r>
      <w:r w:rsidR="00487213">
        <w:rPr>
          <w:sz w:val="24"/>
          <w:szCs w:val="24"/>
        </w:rPr>
        <w:t xml:space="preserve">sei </w:t>
      </w:r>
      <w:r w:rsidR="00386B6F">
        <w:rPr>
          <w:sz w:val="24"/>
          <w:szCs w:val="24"/>
        </w:rPr>
        <w:t>das Wort</w:t>
      </w:r>
      <w:r w:rsidR="00487213">
        <w:rPr>
          <w:sz w:val="24"/>
          <w:szCs w:val="24"/>
        </w:rPr>
        <w:t xml:space="preserve">. </w:t>
      </w:r>
      <w:r w:rsidR="00C669FF">
        <w:rPr>
          <w:sz w:val="24"/>
          <w:szCs w:val="24"/>
        </w:rPr>
        <w:t>A</w:t>
      </w:r>
      <w:r w:rsidR="00C669FF">
        <w:rPr>
          <w:sz w:val="24"/>
          <w:szCs w:val="24"/>
        </w:rPr>
        <w:t>l</w:t>
      </w:r>
      <w:r w:rsidR="00C669FF">
        <w:rPr>
          <w:sz w:val="24"/>
          <w:szCs w:val="24"/>
        </w:rPr>
        <w:t>lerdings s</w:t>
      </w:r>
      <w:r w:rsidR="00386B6F">
        <w:rPr>
          <w:sz w:val="24"/>
          <w:szCs w:val="24"/>
        </w:rPr>
        <w:t xml:space="preserve">olle man sich nicht einbilden, </w:t>
      </w:r>
      <w:r w:rsidR="00D109B1">
        <w:rPr>
          <w:sz w:val="24"/>
          <w:szCs w:val="24"/>
        </w:rPr>
        <w:t>mit diesem</w:t>
      </w:r>
      <w:r w:rsidR="00C669FF">
        <w:rPr>
          <w:sz w:val="24"/>
          <w:szCs w:val="24"/>
        </w:rPr>
        <w:t xml:space="preserve"> Instrument </w:t>
      </w:r>
      <w:r w:rsidR="00D109B1">
        <w:rPr>
          <w:sz w:val="24"/>
          <w:szCs w:val="24"/>
        </w:rPr>
        <w:t xml:space="preserve">gegen das Waffenarsenal des Dritten Reiches, die nationalsozialistischen Konzentrationslager oder </w:t>
      </w:r>
      <w:r w:rsidR="00487213">
        <w:rPr>
          <w:sz w:val="24"/>
          <w:szCs w:val="24"/>
        </w:rPr>
        <w:t xml:space="preserve">auch nur </w:t>
      </w:r>
      <w:r w:rsidR="00D109B1">
        <w:rPr>
          <w:sz w:val="24"/>
          <w:szCs w:val="24"/>
        </w:rPr>
        <w:t>gegen die G</w:t>
      </w:r>
      <w:r w:rsidR="00D109B1">
        <w:rPr>
          <w:sz w:val="24"/>
          <w:szCs w:val="24"/>
        </w:rPr>
        <w:t>e</w:t>
      </w:r>
      <w:r w:rsidR="00D109B1">
        <w:rPr>
          <w:sz w:val="24"/>
          <w:szCs w:val="24"/>
        </w:rPr>
        <w:t>heimpolizei der Aufnahmeländer ankämpfen zu können</w:t>
      </w:r>
      <w:r w:rsidR="00487213">
        <w:rPr>
          <w:sz w:val="24"/>
          <w:szCs w:val="24"/>
        </w:rPr>
        <w:t>. Obwohl in der Öffentlichkeit hofiert, werde das Schriftstellerexil in Wirklichkeit</w:t>
      </w:r>
      <w:r w:rsidR="00A24C97">
        <w:rPr>
          <w:sz w:val="24"/>
          <w:szCs w:val="24"/>
        </w:rPr>
        <w:t xml:space="preserve"> regelmäßig </w:t>
      </w:r>
      <w:r w:rsidR="00D109B1">
        <w:rPr>
          <w:sz w:val="24"/>
          <w:szCs w:val="24"/>
        </w:rPr>
        <w:t>bespitzelt</w:t>
      </w:r>
      <w:r w:rsidR="00E44BDD">
        <w:rPr>
          <w:sz w:val="24"/>
          <w:szCs w:val="24"/>
        </w:rPr>
        <w:t>:</w:t>
      </w:r>
    </w:p>
    <w:p w:rsidR="006118B6" w:rsidRDefault="006118B6" w:rsidP="001D2105">
      <w:pPr>
        <w:spacing w:after="0"/>
        <w:ind w:left="1134"/>
        <w:jc w:val="both"/>
        <w:rPr>
          <w:sz w:val="24"/>
          <w:szCs w:val="24"/>
        </w:rPr>
      </w:pPr>
      <w:r>
        <w:rPr>
          <w:sz w:val="24"/>
          <w:szCs w:val="24"/>
        </w:rPr>
        <w:t>„Schon eine politische Voraussage ist bekanntlich schwer und gefährlich. Eines kann man aber sagen: Unsachliche Schwätzereien, wie ‚die Fahne hoch</w:t>
      </w:r>
      <w:r w:rsidR="00D109B1">
        <w:rPr>
          <w:sz w:val="24"/>
          <w:szCs w:val="24"/>
        </w:rPr>
        <w:t>h</w:t>
      </w:r>
      <w:r>
        <w:rPr>
          <w:sz w:val="24"/>
          <w:szCs w:val="24"/>
        </w:rPr>
        <w:t>alten‘[,] ‚die Tradition aufrechterhalten‘, ‚den Mut nicht verlieren‘ – das sind leere Phr</w:t>
      </w:r>
      <w:r>
        <w:rPr>
          <w:sz w:val="24"/>
          <w:szCs w:val="24"/>
        </w:rPr>
        <w:t>a</w:t>
      </w:r>
      <w:r>
        <w:rPr>
          <w:sz w:val="24"/>
          <w:szCs w:val="24"/>
        </w:rPr>
        <w:t xml:space="preserve">sen, die an </w:t>
      </w:r>
      <w:proofErr w:type="spellStart"/>
      <w:r>
        <w:rPr>
          <w:sz w:val="24"/>
          <w:szCs w:val="24"/>
        </w:rPr>
        <w:t>schreierische</w:t>
      </w:r>
      <w:proofErr w:type="spellEnd"/>
      <w:r>
        <w:rPr>
          <w:sz w:val="24"/>
          <w:szCs w:val="24"/>
        </w:rPr>
        <w:t>, jetzt überall verbreitete deutsche Reklamen erinnern, wie ‚Deutsche, trinkt deutsches Bier</w:t>
      </w:r>
      <w:proofErr w:type="gramStart"/>
      <w:r>
        <w:rPr>
          <w:sz w:val="24"/>
          <w:szCs w:val="24"/>
        </w:rPr>
        <w:t>!‘</w:t>
      </w:r>
      <w:proofErr w:type="gramEnd"/>
      <w:r>
        <w:rPr>
          <w:sz w:val="24"/>
          <w:szCs w:val="24"/>
        </w:rPr>
        <w:t xml:space="preserve"> usw.</w:t>
      </w:r>
    </w:p>
    <w:p w:rsidR="006118B6" w:rsidRDefault="006118B6" w:rsidP="001D2105">
      <w:pPr>
        <w:spacing w:after="0"/>
        <w:ind w:left="1134"/>
        <w:jc w:val="both"/>
        <w:rPr>
          <w:sz w:val="24"/>
          <w:szCs w:val="24"/>
        </w:rPr>
      </w:pPr>
      <w:r>
        <w:rPr>
          <w:sz w:val="24"/>
          <w:szCs w:val="24"/>
        </w:rPr>
        <w:t xml:space="preserve">Wir müssen uns eingestehen, </w:t>
      </w:r>
      <w:proofErr w:type="spellStart"/>
      <w:r>
        <w:rPr>
          <w:sz w:val="24"/>
          <w:szCs w:val="24"/>
        </w:rPr>
        <w:t>daß</w:t>
      </w:r>
      <w:proofErr w:type="spellEnd"/>
      <w:r>
        <w:rPr>
          <w:sz w:val="24"/>
          <w:szCs w:val="24"/>
        </w:rPr>
        <w:t xml:space="preserve"> unsere einzige Waffe das Wort ist. Es ist eine mächtige, gefährliche und sogar magische Waffe, aber sie ist weder scharf, noch direkt. Gegenüber den Kanonen von Krupp, den Giftgasen der Leuna-Werke, den </w:t>
      </w:r>
      <w:r>
        <w:rPr>
          <w:sz w:val="24"/>
          <w:szCs w:val="24"/>
        </w:rPr>
        <w:lastRenderedPageBreak/>
        <w:t>Flugzeugen von Göring, den Konzentrationslagern, der Geheimpolizei, der U</w:t>
      </w:r>
      <w:r>
        <w:rPr>
          <w:sz w:val="24"/>
          <w:szCs w:val="24"/>
        </w:rPr>
        <w:t>n</w:t>
      </w:r>
      <w:r>
        <w:rPr>
          <w:sz w:val="24"/>
          <w:szCs w:val="24"/>
        </w:rPr>
        <w:t>freundlichkeit der Länder, in denen man den deutschen Literaten zwar Gastrecht gewährt, aber in ihnen nur geduldete Ausländer sieht – dem allen gegenüber sind wir nur ‚arme Schriftsteller‘.</w:t>
      </w:r>
    </w:p>
    <w:p w:rsidR="006118B6" w:rsidRDefault="006118B6" w:rsidP="001D2105">
      <w:pPr>
        <w:spacing w:after="0"/>
        <w:ind w:left="1134"/>
        <w:jc w:val="both"/>
        <w:rPr>
          <w:sz w:val="24"/>
          <w:szCs w:val="24"/>
        </w:rPr>
      </w:pPr>
      <w:r>
        <w:rPr>
          <w:sz w:val="24"/>
          <w:szCs w:val="24"/>
        </w:rPr>
        <w:t xml:space="preserve">Die vertriebenen deutschen Schriftsteller sind fremd, wie Israel in Ägypten fremd war. Überall, soweit das Auge reicht, sind neue Pharaonen zu sehen. </w:t>
      </w:r>
      <w:r w:rsidR="00064C66">
        <w:rPr>
          <w:sz w:val="24"/>
          <w:szCs w:val="24"/>
        </w:rPr>
        <w:t>Und nur der Glaube an ein Wunder befähigt die Schriftsteller, ihre Existenz</w:t>
      </w:r>
      <w:r>
        <w:rPr>
          <w:sz w:val="24"/>
          <w:szCs w:val="24"/>
        </w:rPr>
        <w:t xml:space="preserve"> </w:t>
      </w:r>
      <w:r w:rsidR="00064C66">
        <w:rPr>
          <w:sz w:val="24"/>
          <w:szCs w:val="24"/>
        </w:rPr>
        <w:t>physisch und lit</w:t>
      </w:r>
      <w:r w:rsidR="00064C66">
        <w:rPr>
          <w:sz w:val="24"/>
          <w:szCs w:val="24"/>
        </w:rPr>
        <w:t>e</w:t>
      </w:r>
      <w:r w:rsidR="00064C66">
        <w:rPr>
          <w:sz w:val="24"/>
          <w:szCs w:val="24"/>
        </w:rPr>
        <w:t>rarisch fortzuführen.</w:t>
      </w:r>
      <w:r w:rsidR="00E87E8C">
        <w:rPr>
          <w:sz w:val="24"/>
          <w:szCs w:val="24"/>
        </w:rPr>
        <w:t>“</w:t>
      </w:r>
    </w:p>
    <w:p w:rsidR="00E87E8C" w:rsidRDefault="00BC05CD" w:rsidP="001D2105">
      <w:pPr>
        <w:spacing w:after="0"/>
        <w:jc w:val="both"/>
        <w:rPr>
          <w:sz w:val="24"/>
          <w:szCs w:val="24"/>
        </w:rPr>
      </w:pPr>
      <w:r>
        <w:rPr>
          <w:sz w:val="24"/>
          <w:szCs w:val="24"/>
        </w:rPr>
        <w:t>Die Erinnerung an das „Volk Israel“</w:t>
      </w:r>
      <w:r w:rsidR="006B275A">
        <w:rPr>
          <w:sz w:val="24"/>
          <w:szCs w:val="24"/>
        </w:rPr>
        <w:t xml:space="preserve"> </w:t>
      </w:r>
      <w:r>
        <w:rPr>
          <w:sz w:val="24"/>
          <w:szCs w:val="24"/>
        </w:rPr>
        <w:t xml:space="preserve">ist implizit ein Hinweis auf den Rassismus, den es nicht nur in Deutschland, sondern auch in den Aufnahmeländern gibt. – </w:t>
      </w:r>
      <w:r w:rsidR="00E87E8C">
        <w:rPr>
          <w:sz w:val="24"/>
          <w:szCs w:val="24"/>
        </w:rPr>
        <w:t xml:space="preserve">Roth schließt </w:t>
      </w:r>
      <w:r w:rsidR="00A24C97">
        <w:rPr>
          <w:sz w:val="24"/>
          <w:szCs w:val="24"/>
        </w:rPr>
        <w:t>damit, dass er</w:t>
      </w:r>
      <w:r w:rsidR="00E87E8C">
        <w:rPr>
          <w:sz w:val="24"/>
          <w:szCs w:val="24"/>
        </w:rPr>
        <w:t xml:space="preserve"> </w:t>
      </w:r>
      <w:r w:rsidR="00E44BDD">
        <w:rPr>
          <w:sz w:val="24"/>
          <w:szCs w:val="24"/>
        </w:rPr>
        <w:t xml:space="preserve">vom </w:t>
      </w:r>
      <w:r w:rsidR="00A24C97">
        <w:rPr>
          <w:sz w:val="24"/>
          <w:szCs w:val="24"/>
        </w:rPr>
        <w:t>„</w:t>
      </w:r>
      <w:r w:rsidR="00E87E8C">
        <w:rPr>
          <w:sz w:val="24"/>
          <w:szCs w:val="24"/>
        </w:rPr>
        <w:t>berechtigten Glauben an ein Wunder“ spricht</w:t>
      </w:r>
      <w:r w:rsidR="00E44BDD">
        <w:rPr>
          <w:sz w:val="24"/>
          <w:szCs w:val="24"/>
        </w:rPr>
        <w:t>. Das „Wort“</w:t>
      </w:r>
      <w:r w:rsidR="006B275A">
        <w:rPr>
          <w:sz w:val="24"/>
          <w:szCs w:val="24"/>
        </w:rPr>
        <w:t>, diese „gefährliche und sogar magische Waffe“,</w:t>
      </w:r>
      <w:r w:rsidR="00E44BDD">
        <w:rPr>
          <w:sz w:val="24"/>
          <w:szCs w:val="24"/>
        </w:rPr>
        <w:t xml:space="preserve"> k</w:t>
      </w:r>
      <w:r w:rsidR="00A24C97">
        <w:rPr>
          <w:sz w:val="24"/>
          <w:szCs w:val="24"/>
        </w:rPr>
        <w:t>ö</w:t>
      </w:r>
      <w:r w:rsidR="00E44BDD">
        <w:rPr>
          <w:sz w:val="24"/>
          <w:szCs w:val="24"/>
        </w:rPr>
        <w:t>nn</w:t>
      </w:r>
      <w:r w:rsidR="00A24C97">
        <w:rPr>
          <w:sz w:val="24"/>
          <w:szCs w:val="24"/>
        </w:rPr>
        <w:t>e</w:t>
      </w:r>
      <w:r w:rsidR="00E44BDD">
        <w:rPr>
          <w:sz w:val="24"/>
          <w:szCs w:val="24"/>
        </w:rPr>
        <w:t xml:space="preserve"> die Welt </w:t>
      </w:r>
      <w:r w:rsidR="00A24C97">
        <w:rPr>
          <w:sz w:val="24"/>
          <w:szCs w:val="24"/>
        </w:rPr>
        <w:t xml:space="preserve">tatsächlich </w:t>
      </w:r>
      <w:r w:rsidR="00E44BDD">
        <w:rPr>
          <w:sz w:val="24"/>
          <w:szCs w:val="24"/>
        </w:rPr>
        <w:t>verändern</w:t>
      </w:r>
      <w:r w:rsidR="00E87E8C">
        <w:rPr>
          <w:sz w:val="24"/>
          <w:szCs w:val="24"/>
        </w:rPr>
        <w:t>:</w:t>
      </w:r>
    </w:p>
    <w:p w:rsidR="00064C66" w:rsidRDefault="00E87E8C" w:rsidP="001D2105">
      <w:pPr>
        <w:spacing w:after="0"/>
        <w:ind w:left="1134"/>
        <w:jc w:val="both"/>
        <w:rPr>
          <w:sz w:val="24"/>
          <w:szCs w:val="24"/>
        </w:rPr>
      </w:pPr>
      <w:r>
        <w:rPr>
          <w:sz w:val="24"/>
          <w:szCs w:val="24"/>
        </w:rPr>
        <w:t>„</w:t>
      </w:r>
      <w:r w:rsidR="00064C66" w:rsidRPr="00E87E8C">
        <w:rPr>
          <w:i/>
          <w:sz w:val="24"/>
          <w:szCs w:val="24"/>
        </w:rPr>
        <w:t>Es ist aber ein berechtigter Glaube an ein Wunder. Denn am Anfang war das Wort – nicht die Phrase</w:t>
      </w:r>
      <w:r w:rsidR="00064C66">
        <w:rPr>
          <w:sz w:val="24"/>
          <w:szCs w:val="24"/>
        </w:rPr>
        <w:t>.“</w:t>
      </w:r>
      <w:r w:rsidR="00064C66">
        <w:rPr>
          <w:rStyle w:val="Funotenzeichen"/>
          <w:sz w:val="24"/>
          <w:szCs w:val="24"/>
        </w:rPr>
        <w:footnoteReference w:id="13"/>
      </w:r>
    </w:p>
    <w:p w:rsidR="00E44BDD" w:rsidRDefault="00E44BDD" w:rsidP="001D2105">
      <w:pPr>
        <w:spacing w:after="0"/>
        <w:jc w:val="both"/>
        <w:rPr>
          <w:sz w:val="24"/>
          <w:szCs w:val="24"/>
        </w:rPr>
      </w:pPr>
    </w:p>
    <w:p w:rsidR="00E87E8C" w:rsidRPr="00E87E8C" w:rsidRDefault="00E87E8C" w:rsidP="001D2105">
      <w:pPr>
        <w:spacing w:after="0"/>
        <w:jc w:val="both"/>
        <w:rPr>
          <w:b/>
          <w:sz w:val="24"/>
          <w:szCs w:val="24"/>
        </w:rPr>
      </w:pPr>
      <w:r>
        <w:rPr>
          <w:b/>
          <w:sz w:val="24"/>
          <w:szCs w:val="24"/>
        </w:rPr>
        <w:t>*</w:t>
      </w:r>
    </w:p>
    <w:p w:rsidR="00E87E8C" w:rsidRDefault="00E87E8C" w:rsidP="001D2105">
      <w:pPr>
        <w:spacing w:after="0"/>
        <w:jc w:val="both"/>
        <w:rPr>
          <w:sz w:val="24"/>
          <w:szCs w:val="24"/>
        </w:rPr>
      </w:pPr>
    </w:p>
    <w:p w:rsidR="001865F5" w:rsidRDefault="00064C66" w:rsidP="001D2105">
      <w:pPr>
        <w:spacing w:after="0"/>
        <w:jc w:val="both"/>
        <w:rPr>
          <w:sz w:val="24"/>
          <w:szCs w:val="24"/>
        </w:rPr>
      </w:pPr>
      <w:r>
        <w:rPr>
          <w:sz w:val="24"/>
          <w:szCs w:val="24"/>
        </w:rPr>
        <w:tab/>
        <w:t>Roths</w:t>
      </w:r>
      <w:r w:rsidR="0040369A">
        <w:rPr>
          <w:sz w:val="24"/>
          <w:szCs w:val="24"/>
        </w:rPr>
        <w:t xml:space="preserve"> Vorwurf des Illusionismus be</w:t>
      </w:r>
      <w:r w:rsidR="006B275A">
        <w:rPr>
          <w:sz w:val="24"/>
          <w:szCs w:val="24"/>
        </w:rPr>
        <w:t>rühr</w:t>
      </w:r>
      <w:r w:rsidR="0040369A">
        <w:rPr>
          <w:sz w:val="24"/>
          <w:szCs w:val="24"/>
        </w:rPr>
        <w:t>t nicht die Verdienste des Schriftstellerexils</w:t>
      </w:r>
      <w:r w:rsidR="00B12827">
        <w:rPr>
          <w:sz w:val="24"/>
          <w:szCs w:val="24"/>
        </w:rPr>
        <w:t>.</w:t>
      </w:r>
      <w:r w:rsidR="0040369A">
        <w:rPr>
          <w:sz w:val="24"/>
          <w:szCs w:val="24"/>
        </w:rPr>
        <w:t xml:space="preserve"> </w:t>
      </w:r>
      <w:r w:rsidR="00E34B43">
        <w:rPr>
          <w:sz w:val="24"/>
          <w:szCs w:val="24"/>
        </w:rPr>
        <w:t>N</w:t>
      </w:r>
      <w:r w:rsidR="001865F5">
        <w:rPr>
          <w:sz w:val="24"/>
          <w:szCs w:val="24"/>
        </w:rPr>
        <w:t xml:space="preserve">ach dem 30. Januar 1933 bzw. nach dem Reichstagsbrand waren </w:t>
      </w:r>
      <w:r w:rsidR="007C4467">
        <w:rPr>
          <w:sz w:val="24"/>
          <w:szCs w:val="24"/>
        </w:rPr>
        <w:t>d</w:t>
      </w:r>
      <w:r w:rsidR="001865F5">
        <w:rPr>
          <w:sz w:val="24"/>
          <w:szCs w:val="24"/>
        </w:rPr>
        <w:t xml:space="preserve">ie </w:t>
      </w:r>
      <w:r w:rsidR="007C4467">
        <w:rPr>
          <w:sz w:val="24"/>
          <w:szCs w:val="24"/>
        </w:rPr>
        <w:t xml:space="preserve">Schriftsteller </w:t>
      </w:r>
      <w:r w:rsidR="001865F5">
        <w:rPr>
          <w:sz w:val="24"/>
          <w:szCs w:val="24"/>
        </w:rPr>
        <w:t xml:space="preserve">die </w:t>
      </w:r>
      <w:r w:rsidR="006D25C4">
        <w:rPr>
          <w:sz w:val="24"/>
          <w:szCs w:val="24"/>
        </w:rPr>
        <w:t>E</w:t>
      </w:r>
      <w:r w:rsidR="00B12827">
        <w:rPr>
          <w:sz w:val="24"/>
          <w:szCs w:val="24"/>
        </w:rPr>
        <w:t>rst</w:t>
      </w:r>
      <w:r w:rsidR="001865F5">
        <w:rPr>
          <w:sz w:val="24"/>
          <w:szCs w:val="24"/>
        </w:rPr>
        <w:t>en</w:t>
      </w:r>
      <w:r w:rsidR="006D25C4">
        <w:rPr>
          <w:sz w:val="24"/>
          <w:szCs w:val="24"/>
        </w:rPr>
        <w:t xml:space="preserve"> gewesen</w:t>
      </w:r>
      <w:r w:rsidR="009520B5">
        <w:rPr>
          <w:sz w:val="24"/>
          <w:szCs w:val="24"/>
        </w:rPr>
        <w:t xml:space="preserve">, </w:t>
      </w:r>
      <w:r w:rsidR="007C4467">
        <w:rPr>
          <w:sz w:val="24"/>
          <w:szCs w:val="24"/>
        </w:rPr>
        <w:t>die</w:t>
      </w:r>
      <w:r w:rsidR="009520B5">
        <w:rPr>
          <w:sz w:val="24"/>
          <w:szCs w:val="24"/>
        </w:rPr>
        <w:t xml:space="preserve"> </w:t>
      </w:r>
      <w:r w:rsidR="006D25C4">
        <w:rPr>
          <w:sz w:val="24"/>
          <w:szCs w:val="24"/>
        </w:rPr>
        <w:t>Anklage</w:t>
      </w:r>
      <w:r w:rsidR="007C4467">
        <w:rPr>
          <w:sz w:val="24"/>
          <w:szCs w:val="24"/>
        </w:rPr>
        <w:t xml:space="preserve"> erhoben hatten</w:t>
      </w:r>
      <w:r w:rsidR="009520B5">
        <w:rPr>
          <w:sz w:val="24"/>
          <w:szCs w:val="24"/>
        </w:rPr>
        <w:t xml:space="preserve">. </w:t>
      </w:r>
      <w:r w:rsidR="00AE0AF0">
        <w:rPr>
          <w:sz w:val="24"/>
          <w:szCs w:val="24"/>
        </w:rPr>
        <w:t>Unmittelbar</w:t>
      </w:r>
      <w:r w:rsidR="00E34B43">
        <w:rPr>
          <w:sz w:val="24"/>
          <w:szCs w:val="24"/>
        </w:rPr>
        <w:t xml:space="preserve"> nach seiner Flucht hatte </w:t>
      </w:r>
      <w:r w:rsidR="009520B5">
        <w:rPr>
          <w:sz w:val="24"/>
          <w:szCs w:val="24"/>
        </w:rPr>
        <w:t xml:space="preserve">Heinrich Mann </w:t>
      </w:r>
      <w:r w:rsidR="0033523A">
        <w:rPr>
          <w:sz w:val="24"/>
          <w:szCs w:val="24"/>
        </w:rPr>
        <w:t xml:space="preserve">damit begonnen, </w:t>
      </w:r>
      <w:r w:rsidR="007C4467">
        <w:rPr>
          <w:sz w:val="24"/>
          <w:szCs w:val="24"/>
        </w:rPr>
        <w:t xml:space="preserve">für die </w:t>
      </w:r>
      <w:proofErr w:type="spellStart"/>
      <w:r w:rsidR="00683F7C">
        <w:rPr>
          <w:i/>
          <w:sz w:val="24"/>
          <w:szCs w:val="24"/>
        </w:rPr>
        <w:t>Dép</w:t>
      </w:r>
      <w:r w:rsidR="00683F7C">
        <w:rPr>
          <w:rFonts w:cs="Times New Roman"/>
          <w:i/>
          <w:sz w:val="24"/>
          <w:szCs w:val="24"/>
        </w:rPr>
        <w:t>ê</w:t>
      </w:r>
      <w:r w:rsidR="00683F7C">
        <w:rPr>
          <w:i/>
          <w:sz w:val="24"/>
          <w:szCs w:val="24"/>
        </w:rPr>
        <w:t>che</w:t>
      </w:r>
      <w:proofErr w:type="spellEnd"/>
      <w:r w:rsidR="00683F7C">
        <w:rPr>
          <w:i/>
          <w:sz w:val="24"/>
          <w:szCs w:val="24"/>
        </w:rPr>
        <w:t xml:space="preserve"> de Toulouse</w:t>
      </w:r>
      <w:r w:rsidR="00683F7C">
        <w:rPr>
          <w:sz w:val="24"/>
          <w:szCs w:val="24"/>
        </w:rPr>
        <w:t xml:space="preserve"> </w:t>
      </w:r>
      <w:r w:rsidR="007C4467">
        <w:rPr>
          <w:sz w:val="24"/>
          <w:szCs w:val="24"/>
        </w:rPr>
        <w:t>zu schreib</w:t>
      </w:r>
      <w:r w:rsidR="00F2725B">
        <w:rPr>
          <w:sz w:val="24"/>
          <w:szCs w:val="24"/>
        </w:rPr>
        <w:t>en</w:t>
      </w:r>
      <w:r w:rsidR="00AE0AF0">
        <w:rPr>
          <w:sz w:val="24"/>
          <w:szCs w:val="24"/>
        </w:rPr>
        <w:t xml:space="preserve">. </w:t>
      </w:r>
      <w:r w:rsidR="00683F7C">
        <w:rPr>
          <w:sz w:val="24"/>
          <w:szCs w:val="24"/>
        </w:rPr>
        <w:t xml:space="preserve">Ernst </w:t>
      </w:r>
      <w:r w:rsidR="009520B5">
        <w:rPr>
          <w:sz w:val="24"/>
          <w:szCs w:val="24"/>
        </w:rPr>
        <w:t>Toller h</w:t>
      </w:r>
      <w:r w:rsidR="00683F7C">
        <w:rPr>
          <w:sz w:val="24"/>
          <w:szCs w:val="24"/>
        </w:rPr>
        <w:t>atte</w:t>
      </w:r>
      <w:r w:rsidR="009520B5">
        <w:rPr>
          <w:sz w:val="24"/>
          <w:szCs w:val="24"/>
        </w:rPr>
        <w:t xml:space="preserve"> auf dem Pen-Kongress in </w:t>
      </w:r>
      <w:proofErr w:type="spellStart"/>
      <w:r w:rsidR="009520B5">
        <w:rPr>
          <w:sz w:val="24"/>
          <w:szCs w:val="24"/>
        </w:rPr>
        <w:t>Ragusa</w:t>
      </w:r>
      <w:proofErr w:type="spellEnd"/>
      <w:r w:rsidR="009520B5">
        <w:rPr>
          <w:sz w:val="24"/>
          <w:szCs w:val="24"/>
        </w:rPr>
        <w:t xml:space="preserve"> die Bücherverbrennungen und die Verfolgung </w:t>
      </w:r>
      <w:r w:rsidR="00B12827">
        <w:rPr>
          <w:sz w:val="24"/>
          <w:szCs w:val="24"/>
        </w:rPr>
        <w:t>von</w:t>
      </w:r>
      <w:r w:rsidR="009520B5">
        <w:rPr>
          <w:sz w:val="24"/>
          <w:szCs w:val="24"/>
        </w:rPr>
        <w:t xml:space="preserve"> Schriftsteller</w:t>
      </w:r>
      <w:r w:rsidR="00B12827">
        <w:rPr>
          <w:sz w:val="24"/>
          <w:szCs w:val="24"/>
        </w:rPr>
        <w:t>n</w:t>
      </w:r>
      <w:r w:rsidR="009520B5">
        <w:rPr>
          <w:sz w:val="24"/>
          <w:szCs w:val="24"/>
        </w:rPr>
        <w:t xml:space="preserve"> und Publizisten</w:t>
      </w:r>
      <w:r w:rsidR="00683F7C">
        <w:rPr>
          <w:sz w:val="24"/>
          <w:szCs w:val="24"/>
        </w:rPr>
        <w:t xml:space="preserve"> </w:t>
      </w:r>
      <w:r w:rsidR="0073411F">
        <w:rPr>
          <w:sz w:val="24"/>
          <w:szCs w:val="24"/>
        </w:rPr>
        <w:t>angeprangert</w:t>
      </w:r>
      <w:r w:rsidR="003F6E3B">
        <w:rPr>
          <w:sz w:val="24"/>
          <w:szCs w:val="24"/>
        </w:rPr>
        <w:t>;</w:t>
      </w:r>
      <w:r w:rsidR="009520B5">
        <w:rPr>
          <w:sz w:val="24"/>
          <w:szCs w:val="24"/>
        </w:rPr>
        <w:t xml:space="preserve"> </w:t>
      </w:r>
      <w:r w:rsidR="002271B5">
        <w:rPr>
          <w:sz w:val="24"/>
          <w:szCs w:val="24"/>
        </w:rPr>
        <w:t xml:space="preserve">Lion Feuchtwanger </w:t>
      </w:r>
      <w:r w:rsidR="0094269B">
        <w:rPr>
          <w:sz w:val="24"/>
          <w:szCs w:val="24"/>
        </w:rPr>
        <w:t xml:space="preserve">war in New York vor die amerikanische Presse </w:t>
      </w:r>
      <w:r w:rsidR="00E34B43">
        <w:rPr>
          <w:sz w:val="24"/>
          <w:szCs w:val="24"/>
        </w:rPr>
        <w:t>getreten</w:t>
      </w:r>
      <w:r w:rsidR="002271B5">
        <w:rPr>
          <w:sz w:val="24"/>
          <w:szCs w:val="24"/>
        </w:rPr>
        <w:t xml:space="preserve">. </w:t>
      </w:r>
      <w:r w:rsidR="006B275A">
        <w:rPr>
          <w:sz w:val="24"/>
          <w:szCs w:val="24"/>
        </w:rPr>
        <w:t>G</w:t>
      </w:r>
      <w:r w:rsidR="006D25C4">
        <w:rPr>
          <w:sz w:val="24"/>
          <w:szCs w:val="24"/>
        </w:rPr>
        <w:t>enerell</w:t>
      </w:r>
      <w:r w:rsidR="006B275A">
        <w:rPr>
          <w:sz w:val="24"/>
          <w:szCs w:val="24"/>
        </w:rPr>
        <w:t xml:space="preserve"> von</w:t>
      </w:r>
      <w:r w:rsidR="006D25C4">
        <w:rPr>
          <w:sz w:val="24"/>
          <w:szCs w:val="24"/>
        </w:rPr>
        <w:t xml:space="preserve"> </w:t>
      </w:r>
      <w:r w:rsidR="002271B5">
        <w:rPr>
          <w:sz w:val="24"/>
          <w:szCs w:val="24"/>
        </w:rPr>
        <w:t xml:space="preserve">„Versagen“ oder von „Blindheit“ zu sprechen ist </w:t>
      </w:r>
      <w:r w:rsidR="00F2725B">
        <w:rPr>
          <w:sz w:val="24"/>
          <w:szCs w:val="24"/>
        </w:rPr>
        <w:t xml:space="preserve">also </w:t>
      </w:r>
      <w:r w:rsidR="002271B5">
        <w:rPr>
          <w:sz w:val="24"/>
          <w:szCs w:val="24"/>
        </w:rPr>
        <w:t xml:space="preserve">unangemessen. </w:t>
      </w:r>
      <w:r w:rsidR="006D25C4">
        <w:rPr>
          <w:sz w:val="24"/>
          <w:szCs w:val="24"/>
        </w:rPr>
        <w:t xml:space="preserve">Dies betrifft auch die nachfolgende Periode. </w:t>
      </w:r>
      <w:r w:rsidR="002271B5">
        <w:rPr>
          <w:sz w:val="24"/>
          <w:szCs w:val="24"/>
        </w:rPr>
        <w:t xml:space="preserve">1933/34 </w:t>
      </w:r>
      <w:r w:rsidR="003F6E3B">
        <w:rPr>
          <w:sz w:val="24"/>
          <w:szCs w:val="24"/>
        </w:rPr>
        <w:t>brandmark</w:t>
      </w:r>
      <w:r w:rsidR="002271B5">
        <w:rPr>
          <w:sz w:val="24"/>
          <w:szCs w:val="24"/>
        </w:rPr>
        <w:t>te das Exil die Niederschl</w:t>
      </w:r>
      <w:r w:rsidR="002271B5">
        <w:rPr>
          <w:sz w:val="24"/>
          <w:szCs w:val="24"/>
        </w:rPr>
        <w:t>a</w:t>
      </w:r>
      <w:r w:rsidR="002271B5">
        <w:rPr>
          <w:sz w:val="24"/>
          <w:szCs w:val="24"/>
        </w:rPr>
        <w:t xml:space="preserve">gung </w:t>
      </w:r>
      <w:r w:rsidR="00690182">
        <w:rPr>
          <w:sz w:val="24"/>
          <w:szCs w:val="24"/>
        </w:rPr>
        <w:t xml:space="preserve">des </w:t>
      </w:r>
      <w:r w:rsidR="006B275A">
        <w:rPr>
          <w:sz w:val="24"/>
          <w:szCs w:val="24"/>
        </w:rPr>
        <w:t xml:space="preserve">Schutzbundaufstandes, des </w:t>
      </w:r>
      <w:r w:rsidR="00690182">
        <w:rPr>
          <w:sz w:val="24"/>
          <w:szCs w:val="24"/>
        </w:rPr>
        <w:t>„Februaraufstands“</w:t>
      </w:r>
      <w:r w:rsidR="002271B5">
        <w:rPr>
          <w:sz w:val="24"/>
          <w:szCs w:val="24"/>
        </w:rPr>
        <w:t xml:space="preserve">, ebenso </w:t>
      </w:r>
      <w:r w:rsidR="00FF3114">
        <w:rPr>
          <w:sz w:val="24"/>
          <w:szCs w:val="24"/>
        </w:rPr>
        <w:t>d</w:t>
      </w:r>
      <w:r w:rsidR="002271B5">
        <w:rPr>
          <w:sz w:val="24"/>
          <w:szCs w:val="24"/>
        </w:rPr>
        <w:t>en</w:t>
      </w:r>
      <w:r w:rsidR="00690182">
        <w:rPr>
          <w:sz w:val="24"/>
          <w:szCs w:val="24"/>
        </w:rPr>
        <w:t xml:space="preserve"> durch</w:t>
      </w:r>
      <w:r w:rsidR="002271B5">
        <w:rPr>
          <w:sz w:val="24"/>
          <w:szCs w:val="24"/>
        </w:rPr>
        <w:t xml:space="preserve"> </w:t>
      </w:r>
      <w:r w:rsidR="00690182">
        <w:rPr>
          <w:sz w:val="24"/>
          <w:szCs w:val="24"/>
        </w:rPr>
        <w:t xml:space="preserve">österreichische Nationalsozialisten verübten </w:t>
      </w:r>
      <w:r w:rsidR="002271B5">
        <w:rPr>
          <w:sz w:val="24"/>
          <w:szCs w:val="24"/>
        </w:rPr>
        <w:t xml:space="preserve">Mord </w:t>
      </w:r>
      <w:r w:rsidR="00C17D80">
        <w:rPr>
          <w:sz w:val="24"/>
          <w:szCs w:val="24"/>
        </w:rPr>
        <w:t>a</w:t>
      </w:r>
      <w:r w:rsidR="00B12827">
        <w:rPr>
          <w:sz w:val="24"/>
          <w:szCs w:val="24"/>
        </w:rPr>
        <w:t>n de</w:t>
      </w:r>
      <w:r w:rsidR="00C17D80">
        <w:rPr>
          <w:sz w:val="24"/>
          <w:szCs w:val="24"/>
        </w:rPr>
        <w:t xml:space="preserve">m Initiator dieser </w:t>
      </w:r>
      <w:r w:rsidR="006B275A">
        <w:rPr>
          <w:sz w:val="24"/>
          <w:szCs w:val="24"/>
        </w:rPr>
        <w:t>Gewaltaktion</w:t>
      </w:r>
      <w:r w:rsidR="00C17D80">
        <w:rPr>
          <w:sz w:val="24"/>
          <w:szCs w:val="24"/>
        </w:rPr>
        <w:t xml:space="preserve">, </w:t>
      </w:r>
      <w:r w:rsidR="002271B5">
        <w:rPr>
          <w:sz w:val="24"/>
          <w:szCs w:val="24"/>
        </w:rPr>
        <w:t>a</w:t>
      </w:r>
      <w:r w:rsidR="006B275A">
        <w:rPr>
          <w:sz w:val="24"/>
          <w:szCs w:val="24"/>
        </w:rPr>
        <w:t>m</w:t>
      </w:r>
      <w:r w:rsidR="002271B5">
        <w:rPr>
          <w:sz w:val="24"/>
          <w:szCs w:val="24"/>
        </w:rPr>
        <w:t xml:space="preserve"> </w:t>
      </w:r>
      <w:r w:rsidR="006B275A">
        <w:rPr>
          <w:sz w:val="24"/>
          <w:szCs w:val="24"/>
        </w:rPr>
        <w:t xml:space="preserve">österreichischen Kanzler </w:t>
      </w:r>
      <w:proofErr w:type="spellStart"/>
      <w:r w:rsidR="002271B5">
        <w:rPr>
          <w:sz w:val="24"/>
          <w:szCs w:val="24"/>
        </w:rPr>
        <w:t>Dollfuß</w:t>
      </w:r>
      <w:proofErr w:type="spellEnd"/>
      <w:r w:rsidR="00FF3114">
        <w:rPr>
          <w:sz w:val="24"/>
          <w:szCs w:val="24"/>
        </w:rPr>
        <w:t>.</w:t>
      </w:r>
      <w:r w:rsidR="002271B5">
        <w:rPr>
          <w:sz w:val="24"/>
          <w:szCs w:val="24"/>
        </w:rPr>
        <w:t xml:space="preserve"> </w:t>
      </w:r>
      <w:r w:rsidR="00690182">
        <w:rPr>
          <w:sz w:val="24"/>
          <w:szCs w:val="24"/>
        </w:rPr>
        <w:t xml:space="preserve">Mit Hunderten von Publikationen </w:t>
      </w:r>
      <w:r w:rsidR="002271B5">
        <w:rPr>
          <w:sz w:val="24"/>
          <w:szCs w:val="24"/>
        </w:rPr>
        <w:t>engagierten sich die Exilschriftsteller bei der Saarabstimmung.</w:t>
      </w:r>
      <w:r w:rsidR="0034303E">
        <w:rPr>
          <w:rStyle w:val="Funotenzeichen"/>
          <w:sz w:val="24"/>
          <w:szCs w:val="24"/>
        </w:rPr>
        <w:footnoteReference w:id="14"/>
      </w:r>
      <w:r w:rsidR="002271B5">
        <w:rPr>
          <w:sz w:val="24"/>
          <w:szCs w:val="24"/>
        </w:rPr>
        <w:t xml:space="preserve"> Dass gerade die Saarabstimmung </w:t>
      </w:r>
      <w:r w:rsidR="00690182">
        <w:rPr>
          <w:sz w:val="24"/>
          <w:szCs w:val="24"/>
        </w:rPr>
        <w:t xml:space="preserve">trotzdem </w:t>
      </w:r>
      <w:r w:rsidR="002271B5">
        <w:rPr>
          <w:sz w:val="24"/>
          <w:szCs w:val="24"/>
        </w:rPr>
        <w:t>in einem Debakel endet</w:t>
      </w:r>
      <w:r w:rsidR="00D943EB">
        <w:rPr>
          <w:sz w:val="24"/>
          <w:szCs w:val="24"/>
        </w:rPr>
        <w:t>e</w:t>
      </w:r>
      <w:r w:rsidR="002271B5">
        <w:rPr>
          <w:sz w:val="24"/>
          <w:szCs w:val="24"/>
        </w:rPr>
        <w:t>, war nicht den Schriftstellern anzurechnen</w:t>
      </w:r>
      <w:r w:rsidR="00683F7C">
        <w:rPr>
          <w:sz w:val="24"/>
          <w:szCs w:val="24"/>
        </w:rPr>
        <w:t>. Sie hatten die starke emotionale Bindung der Saarbevölkerung an das „Reich“, also an Deutschland, unterschätzt.</w:t>
      </w:r>
      <w:r w:rsidR="0073411F">
        <w:rPr>
          <w:sz w:val="24"/>
          <w:szCs w:val="24"/>
        </w:rPr>
        <w:t xml:space="preserve"> Die eigentliche Veran</w:t>
      </w:r>
      <w:r w:rsidR="0073411F">
        <w:rPr>
          <w:sz w:val="24"/>
          <w:szCs w:val="24"/>
        </w:rPr>
        <w:t>t</w:t>
      </w:r>
      <w:r w:rsidR="0073411F">
        <w:rPr>
          <w:sz w:val="24"/>
          <w:szCs w:val="24"/>
        </w:rPr>
        <w:t>wortung lag bei der KPD und SPD.</w:t>
      </w:r>
      <w:r w:rsidR="00165F39">
        <w:rPr>
          <w:sz w:val="24"/>
          <w:szCs w:val="24"/>
        </w:rPr>
        <w:t xml:space="preserve"> Die Parteien, nicht die Schriftsteller, waren die politischen und organisatorischen Träger der Saar-Kampagne</w:t>
      </w:r>
      <w:r w:rsidR="003F6E3B">
        <w:rPr>
          <w:sz w:val="24"/>
          <w:szCs w:val="24"/>
        </w:rPr>
        <w:t xml:space="preserve"> gewesen</w:t>
      </w:r>
      <w:r w:rsidR="00165F39">
        <w:rPr>
          <w:sz w:val="24"/>
          <w:szCs w:val="24"/>
        </w:rPr>
        <w:t>.</w:t>
      </w:r>
    </w:p>
    <w:p w:rsidR="009D77AF" w:rsidRDefault="006D25C4" w:rsidP="001D2105">
      <w:pPr>
        <w:spacing w:after="0"/>
        <w:jc w:val="both"/>
        <w:rPr>
          <w:sz w:val="24"/>
          <w:szCs w:val="24"/>
        </w:rPr>
      </w:pPr>
      <w:r>
        <w:rPr>
          <w:sz w:val="24"/>
          <w:szCs w:val="24"/>
        </w:rPr>
        <w:tab/>
      </w:r>
      <w:r w:rsidR="0034303E">
        <w:rPr>
          <w:sz w:val="24"/>
          <w:szCs w:val="24"/>
        </w:rPr>
        <w:t xml:space="preserve">Auf der anderen Seite </w:t>
      </w:r>
      <w:r w:rsidR="0073411F">
        <w:rPr>
          <w:sz w:val="24"/>
          <w:szCs w:val="24"/>
        </w:rPr>
        <w:t xml:space="preserve">zeigt </w:t>
      </w:r>
      <w:r w:rsidR="00B12827">
        <w:rPr>
          <w:sz w:val="24"/>
          <w:szCs w:val="24"/>
        </w:rPr>
        <w:t xml:space="preserve">gerade </w:t>
      </w:r>
      <w:r w:rsidR="0073411F">
        <w:rPr>
          <w:sz w:val="24"/>
          <w:szCs w:val="24"/>
        </w:rPr>
        <w:t>die</w:t>
      </w:r>
      <w:r w:rsidR="00B12827">
        <w:rPr>
          <w:sz w:val="24"/>
          <w:szCs w:val="24"/>
        </w:rPr>
        <w:t xml:space="preserve"> Niederlage bei der Saarabstimmung</w:t>
      </w:r>
      <w:r w:rsidR="0073411F">
        <w:rPr>
          <w:sz w:val="24"/>
          <w:szCs w:val="24"/>
        </w:rPr>
        <w:t>, in we</w:t>
      </w:r>
      <w:r w:rsidR="0073411F">
        <w:rPr>
          <w:sz w:val="24"/>
          <w:szCs w:val="24"/>
        </w:rPr>
        <w:t>l</w:t>
      </w:r>
      <w:r w:rsidR="0073411F">
        <w:rPr>
          <w:sz w:val="24"/>
          <w:szCs w:val="24"/>
        </w:rPr>
        <w:t>che</w:t>
      </w:r>
      <w:r w:rsidR="00165F39">
        <w:rPr>
          <w:sz w:val="24"/>
          <w:szCs w:val="24"/>
        </w:rPr>
        <w:t>m</w:t>
      </w:r>
      <w:r w:rsidR="0073411F">
        <w:rPr>
          <w:sz w:val="24"/>
          <w:szCs w:val="24"/>
        </w:rPr>
        <w:t xml:space="preserve"> </w:t>
      </w:r>
      <w:r w:rsidR="00165F39">
        <w:rPr>
          <w:sz w:val="24"/>
          <w:szCs w:val="24"/>
        </w:rPr>
        <w:t>Maße</w:t>
      </w:r>
      <w:r w:rsidR="0073411F">
        <w:rPr>
          <w:sz w:val="24"/>
          <w:szCs w:val="24"/>
        </w:rPr>
        <w:t xml:space="preserve"> Roths Vorwürfe berechtig sind. </w:t>
      </w:r>
      <w:r w:rsidR="00D943EB">
        <w:rPr>
          <w:sz w:val="24"/>
          <w:szCs w:val="24"/>
        </w:rPr>
        <w:t>D</w:t>
      </w:r>
      <w:r w:rsidR="00B12827">
        <w:rPr>
          <w:sz w:val="24"/>
          <w:szCs w:val="24"/>
        </w:rPr>
        <w:t>as</w:t>
      </w:r>
      <w:r w:rsidR="00D943EB">
        <w:rPr>
          <w:sz w:val="24"/>
          <w:szCs w:val="24"/>
        </w:rPr>
        <w:t xml:space="preserve"> Schriftsteller</w:t>
      </w:r>
      <w:r w:rsidR="00B12827">
        <w:rPr>
          <w:sz w:val="24"/>
          <w:szCs w:val="24"/>
        </w:rPr>
        <w:t>exil</w:t>
      </w:r>
      <w:r>
        <w:rPr>
          <w:sz w:val="24"/>
          <w:szCs w:val="24"/>
        </w:rPr>
        <w:t xml:space="preserve"> war </w:t>
      </w:r>
      <w:r w:rsidR="00165F39">
        <w:rPr>
          <w:sz w:val="24"/>
          <w:szCs w:val="24"/>
        </w:rPr>
        <w:t xml:space="preserve">den Parteien </w:t>
      </w:r>
      <w:r w:rsidR="0073411F">
        <w:rPr>
          <w:sz w:val="24"/>
          <w:szCs w:val="24"/>
        </w:rPr>
        <w:t>mehr oder weniger blind gefolgt, ohne d</w:t>
      </w:r>
      <w:r w:rsidR="00B12827">
        <w:rPr>
          <w:sz w:val="24"/>
          <w:szCs w:val="24"/>
        </w:rPr>
        <w:t>i</w:t>
      </w:r>
      <w:r w:rsidR="0073411F">
        <w:rPr>
          <w:sz w:val="24"/>
          <w:szCs w:val="24"/>
        </w:rPr>
        <w:t xml:space="preserve">e Gefahren, </w:t>
      </w:r>
      <w:r w:rsidR="00B12827">
        <w:rPr>
          <w:sz w:val="24"/>
          <w:szCs w:val="24"/>
        </w:rPr>
        <w:t xml:space="preserve">die </w:t>
      </w:r>
      <w:r w:rsidR="0073411F">
        <w:rPr>
          <w:sz w:val="24"/>
          <w:szCs w:val="24"/>
        </w:rPr>
        <w:t>mit der</w:t>
      </w:r>
      <w:r w:rsidR="00B12827">
        <w:rPr>
          <w:sz w:val="24"/>
          <w:szCs w:val="24"/>
        </w:rPr>
        <w:t xml:space="preserve"> Kampagne in Verbindung standen</w:t>
      </w:r>
      <w:r w:rsidR="0073411F">
        <w:rPr>
          <w:sz w:val="24"/>
          <w:szCs w:val="24"/>
        </w:rPr>
        <w:t xml:space="preserve">, überhaupt in Erwägung zu ziehen. Es </w:t>
      </w:r>
      <w:r w:rsidR="00931388">
        <w:rPr>
          <w:sz w:val="24"/>
          <w:szCs w:val="24"/>
        </w:rPr>
        <w:t xml:space="preserve">war </w:t>
      </w:r>
      <w:r w:rsidR="00FF3114">
        <w:rPr>
          <w:sz w:val="24"/>
          <w:szCs w:val="24"/>
        </w:rPr>
        <w:t>politisch kurzsichtig, d</w:t>
      </w:r>
      <w:r w:rsidR="005C0D50">
        <w:rPr>
          <w:sz w:val="24"/>
          <w:szCs w:val="24"/>
        </w:rPr>
        <w:t xml:space="preserve">ie Saarabstimmung zu einem Votum gegen Hitler und die Diktatur zu erheben. </w:t>
      </w:r>
      <w:r w:rsidR="00FF3114">
        <w:rPr>
          <w:sz w:val="24"/>
          <w:szCs w:val="24"/>
        </w:rPr>
        <w:t>D</w:t>
      </w:r>
      <w:r w:rsidR="000A2DE3">
        <w:rPr>
          <w:sz w:val="24"/>
          <w:szCs w:val="24"/>
        </w:rPr>
        <w:t>er entsprechende Kontext war nicht vo</w:t>
      </w:r>
      <w:r w:rsidR="000A2DE3">
        <w:rPr>
          <w:sz w:val="24"/>
          <w:szCs w:val="24"/>
        </w:rPr>
        <w:t>r</w:t>
      </w:r>
      <w:r w:rsidR="000A2DE3">
        <w:rPr>
          <w:sz w:val="24"/>
          <w:szCs w:val="24"/>
        </w:rPr>
        <w:t>handen.</w:t>
      </w:r>
      <w:r w:rsidR="00FF3114">
        <w:rPr>
          <w:sz w:val="24"/>
          <w:szCs w:val="24"/>
        </w:rPr>
        <w:t xml:space="preserve"> </w:t>
      </w:r>
      <w:r w:rsidR="00931388">
        <w:rPr>
          <w:sz w:val="24"/>
          <w:szCs w:val="24"/>
        </w:rPr>
        <w:t>Hier muss man sich vor Augen führen, dass d</w:t>
      </w:r>
      <w:r w:rsidR="000A2DE3">
        <w:rPr>
          <w:sz w:val="24"/>
          <w:szCs w:val="24"/>
        </w:rPr>
        <w:t xml:space="preserve">ie KPD </w:t>
      </w:r>
      <w:r w:rsidR="00A70DC7">
        <w:rPr>
          <w:sz w:val="24"/>
          <w:szCs w:val="24"/>
        </w:rPr>
        <w:t>zu</w:t>
      </w:r>
      <w:r w:rsidR="000A2DE3">
        <w:rPr>
          <w:sz w:val="24"/>
          <w:szCs w:val="24"/>
        </w:rPr>
        <w:t xml:space="preserve"> Beginn der Kampagne </w:t>
      </w:r>
      <w:r w:rsidR="00A70DC7">
        <w:rPr>
          <w:sz w:val="24"/>
          <w:szCs w:val="24"/>
        </w:rPr>
        <w:t xml:space="preserve">noch </w:t>
      </w:r>
      <w:r w:rsidR="000A2DE3">
        <w:rPr>
          <w:sz w:val="24"/>
          <w:szCs w:val="24"/>
        </w:rPr>
        <w:t xml:space="preserve">die </w:t>
      </w:r>
      <w:r w:rsidR="00A70DC7">
        <w:rPr>
          <w:sz w:val="24"/>
          <w:szCs w:val="24"/>
        </w:rPr>
        <w:t xml:space="preserve">Losung </w:t>
      </w:r>
      <w:r w:rsidR="000A2DE3">
        <w:rPr>
          <w:sz w:val="24"/>
          <w:szCs w:val="24"/>
        </w:rPr>
        <w:t xml:space="preserve">von der „roten Saar in einem roten Rätedeutschland“ </w:t>
      </w:r>
      <w:r w:rsidR="003F6E3B">
        <w:rPr>
          <w:sz w:val="24"/>
          <w:szCs w:val="24"/>
        </w:rPr>
        <w:t>ausgeruf</w:t>
      </w:r>
      <w:r w:rsidR="00165F39">
        <w:rPr>
          <w:sz w:val="24"/>
          <w:szCs w:val="24"/>
        </w:rPr>
        <w:t>en hatte</w:t>
      </w:r>
      <w:r w:rsidR="000A2DE3">
        <w:rPr>
          <w:sz w:val="24"/>
          <w:szCs w:val="24"/>
        </w:rPr>
        <w:t xml:space="preserve">. </w:t>
      </w:r>
      <w:r w:rsidR="00A70DC7">
        <w:rPr>
          <w:sz w:val="24"/>
          <w:szCs w:val="24"/>
        </w:rPr>
        <w:t>D</w:t>
      </w:r>
      <w:r w:rsidR="000A2DE3">
        <w:rPr>
          <w:sz w:val="24"/>
          <w:szCs w:val="24"/>
        </w:rPr>
        <w:t xml:space="preserve">ie </w:t>
      </w:r>
      <w:r w:rsidR="00A70DC7">
        <w:rPr>
          <w:sz w:val="24"/>
          <w:szCs w:val="24"/>
        </w:rPr>
        <w:t xml:space="preserve">Parole </w:t>
      </w:r>
      <w:r w:rsidR="000A2DE3">
        <w:rPr>
          <w:sz w:val="24"/>
          <w:szCs w:val="24"/>
        </w:rPr>
        <w:lastRenderedPageBreak/>
        <w:t>verschreckte das Bürgertum und verstörte Frankreich.</w:t>
      </w:r>
      <w:r w:rsidR="000A2DE3">
        <w:rPr>
          <w:rStyle w:val="Funotenzeichen"/>
          <w:sz w:val="24"/>
          <w:szCs w:val="24"/>
        </w:rPr>
        <w:footnoteReference w:id="15"/>
      </w:r>
      <w:r w:rsidR="000A2DE3">
        <w:rPr>
          <w:sz w:val="24"/>
          <w:szCs w:val="24"/>
        </w:rPr>
        <w:t xml:space="preserve"> </w:t>
      </w:r>
      <w:r w:rsidR="00931388">
        <w:rPr>
          <w:sz w:val="24"/>
          <w:szCs w:val="24"/>
        </w:rPr>
        <w:t>Der Einfluss der katholischen Kirche w</w:t>
      </w:r>
      <w:r w:rsidR="003F6E3B">
        <w:rPr>
          <w:sz w:val="24"/>
          <w:szCs w:val="24"/>
        </w:rPr>
        <w:t>ar</w:t>
      </w:r>
      <w:r w:rsidR="00931388">
        <w:rPr>
          <w:sz w:val="24"/>
          <w:szCs w:val="24"/>
        </w:rPr>
        <w:t xml:space="preserve"> nicht </w:t>
      </w:r>
      <w:r w:rsidR="003F6E3B">
        <w:rPr>
          <w:sz w:val="24"/>
          <w:szCs w:val="24"/>
        </w:rPr>
        <w:t xml:space="preserve">oder zu wenig </w:t>
      </w:r>
      <w:r w:rsidR="00931388">
        <w:rPr>
          <w:sz w:val="24"/>
          <w:szCs w:val="24"/>
        </w:rPr>
        <w:t>berücksichtigt</w:t>
      </w:r>
      <w:r w:rsidR="003F6E3B">
        <w:rPr>
          <w:sz w:val="24"/>
          <w:szCs w:val="24"/>
        </w:rPr>
        <w:t xml:space="preserve"> worden</w:t>
      </w:r>
      <w:r w:rsidR="00165F39">
        <w:rPr>
          <w:sz w:val="24"/>
          <w:szCs w:val="24"/>
        </w:rPr>
        <w:t>:</w:t>
      </w:r>
      <w:r w:rsidR="00A70DC7">
        <w:rPr>
          <w:sz w:val="24"/>
          <w:szCs w:val="24"/>
        </w:rPr>
        <w:t xml:space="preserve"> in einer katholisch geprägten Region ein gr</w:t>
      </w:r>
      <w:r w:rsidR="00A70DC7">
        <w:rPr>
          <w:sz w:val="24"/>
          <w:szCs w:val="24"/>
        </w:rPr>
        <w:t>a</w:t>
      </w:r>
      <w:r w:rsidR="00A70DC7">
        <w:rPr>
          <w:sz w:val="24"/>
          <w:szCs w:val="24"/>
        </w:rPr>
        <w:t>vierender Fehler</w:t>
      </w:r>
      <w:r w:rsidR="00931388">
        <w:rPr>
          <w:sz w:val="24"/>
          <w:szCs w:val="24"/>
        </w:rPr>
        <w:t>.</w:t>
      </w:r>
      <w:r w:rsidR="00931388">
        <w:rPr>
          <w:rStyle w:val="Funotenzeichen"/>
          <w:sz w:val="24"/>
          <w:szCs w:val="24"/>
        </w:rPr>
        <w:footnoteReference w:id="16"/>
      </w:r>
      <w:r w:rsidR="00931388">
        <w:rPr>
          <w:sz w:val="24"/>
          <w:szCs w:val="24"/>
        </w:rPr>
        <w:t xml:space="preserve"> Da es sich um die Abstimmung über ein Völkerbundmandat handelte, w</w:t>
      </w:r>
      <w:r w:rsidR="00931388">
        <w:rPr>
          <w:sz w:val="24"/>
          <w:szCs w:val="24"/>
        </w:rPr>
        <w:t>ä</w:t>
      </w:r>
      <w:r w:rsidR="00931388">
        <w:rPr>
          <w:sz w:val="24"/>
          <w:szCs w:val="24"/>
        </w:rPr>
        <w:t xml:space="preserve">ren </w:t>
      </w:r>
      <w:r w:rsidR="00165F39">
        <w:rPr>
          <w:sz w:val="24"/>
          <w:szCs w:val="24"/>
        </w:rPr>
        <w:t>außerdem gezielte</w:t>
      </w:r>
      <w:r w:rsidR="00A70DC7">
        <w:rPr>
          <w:sz w:val="24"/>
          <w:szCs w:val="24"/>
        </w:rPr>
        <w:t xml:space="preserve"> </w:t>
      </w:r>
      <w:r w:rsidR="00931388">
        <w:rPr>
          <w:sz w:val="24"/>
          <w:szCs w:val="24"/>
        </w:rPr>
        <w:t>Bemühungen um außenpolitische Unterstützung erforderlich gewesen.</w:t>
      </w:r>
    </w:p>
    <w:p w:rsidR="008A6806" w:rsidRDefault="005C0D50" w:rsidP="001D2105">
      <w:pPr>
        <w:spacing w:after="0"/>
        <w:ind w:firstLine="708"/>
        <w:jc w:val="both"/>
        <w:rPr>
          <w:sz w:val="24"/>
          <w:szCs w:val="24"/>
        </w:rPr>
      </w:pPr>
      <w:r>
        <w:rPr>
          <w:sz w:val="24"/>
          <w:szCs w:val="24"/>
        </w:rPr>
        <w:t xml:space="preserve">Die eindeutige, </w:t>
      </w:r>
      <w:r w:rsidR="00E7688C">
        <w:rPr>
          <w:sz w:val="24"/>
          <w:szCs w:val="24"/>
        </w:rPr>
        <w:t xml:space="preserve">in </w:t>
      </w:r>
      <w:r w:rsidR="009033BF">
        <w:rPr>
          <w:sz w:val="24"/>
          <w:szCs w:val="24"/>
        </w:rPr>
        <w:t>der Höhe</w:t>
      </w:r>
      <w:r w:rsidR="00D943EB">
        <w:rPr>
          <w:sz w:val="24"/>
          <w:szCs w:val="24"/>
        </w:rPr>
        <w:t xml:space="preserve"> </w:t>
      </w:r>
      <w:r w:rsidR="009D77AF">
        <w:rPr>
          <w:sz w:val="24"/>
          <w:szCs w:val="24"/>
        </w:rPr>
        <w:t>katastrophale</w:t>
      </w:r>
      <w:r>
        <w:rPr>
          <w:sz w:val="24"/>
          <w:szCs w:val="24"/>
        </w:rPr>
        <w:t xml:space="preserve"> </w:t>
      </w:r>
      <w:r w:rsidR="009D77AF">
        <w:rPr>
          <w:sz w:val="24"/>
          <w:szCs w:val="24"/>
        </w:rPr>
        <w:t>Abstimmungsn</w:t>
      </w:r>
      <w:r>
        <w:rPr>
          <w:sz w:val="24"/>
          <w:szCs w:val="24"/>
        </w:rPr>
        <w:t xml:space="preserve">iederlage </w:t>
      </w:r>
      <w:r w:rsidR="006F0639">
        <w:rPr>
          <w:sz w:val="24"/>
          <w:szCs w:val="24"/>
        </w:rPr>
        <w:t>– 90,7 % der Wä</w:t>
      </w:r>
      <w:r w:rsidR="006F0639">
        <w:rPr>
          <w:sz w:val="24"/>
          <w:szCs w:val="24"/>
        </w:rPr>
        <w:t>h</w:t>
      </w:r>
      <w:r w:rsidR="006F0639">
        <w:rPr>
          <w:sz w:val="24"/>
          <w:szCs w:val="24"/>
        </w:rPr>
        <w:t>ler votierten für eine sofortige Rückkehr ins Deutsche Reich – h</w:t>
      </w:r>
      <w:r w:rsidR="000672B5">
        <w:rPr>
          <w:sz w:val="24"/>
          <w:szCs w:val="24"/>
        </w:rPr>
        <w:t>at</w:t>
      </w:r>
      <w:r>
        <w:rPr>
          <w:sz w:val="24"/>
          <w:szCs w:val="24"/>
        </w:rPr>
        <w:t xml:space="preserve">te </w:t>
      </w:r>
      <w:r w:rsidR="009D77AF">
        <w:rPr>
          <w:sz w:val="24"/>
          <w:szCs w:val="24"/>
        </w:rPr>
        <w:t xml:space="preserve">weitreichende Folgen. Sie legte </w:t>
      </w:r>
      <w:r>
        <w:rPr>
          <w:sz w:val="24"/>
          <w:szCs w:val="24"/>
        </w:rPr>
        <w:t>mit einem Schlag die Schwäche</w:t>
      </w:r>
      <w:r w:rsidR="000672B5" w:rsidRPr="000672B5">
        <w:rPr>
          <w:sz w:val="24"/>
          <w:szCs w:val="24"/>
        </w:rPr>
        <w:t xml:space="preserve"> </w:t>
      </w:r>
      <w:r w:rsidR="000672B5">
        <w:rPr>
          <w:sz w:val="24"/>
          <w:szCs w:val="24"/>
        </w:rPr>
        <w:t>de</w:t>
      </w:r>
      <w:r w:rsidR="009D77AF">
        <w:rPr>
          <w:sz w:val="24"/>
          <w:szCs w:val="24"/>
        </w:rPr>
        <w:t>s</w:t>
      </w:r>
      <w:r w:rsidR="000672B5">
        <w:rPr>
          <w:sz w:val="24"/>
          <w:szCs w:val="24"/>
        </w:rPr>
        <w:t xml:space="preserve"> politischen </w:t>
      </w:r>
      <w:r w:rsidR="009D77AF">
        <w:rPr>
          <w:sz w:val="24"/>
          <w:szCs w:val="24"/>
        </w:rPr>
        <w:t>Exils</w:t>
      </w:r>
      <w:r w:rsidR="000672B5">
        <w:rPr>
          <w:sz w:val="24"/>
          <w:szCs w:val="24"/>
        </w:rPr>
        <w:t xml:space="preserve"> offen</w:t>
      </w:r>
      <w:r w:rsidR="00E7688C">
        <w:rPr>
          <w:sz w:val="24"/>
          <w:szCs w:val="24"/>
        </w:rPr>
        <w:t xml:space="preserve">. Es </w:t>
      </w:r>
      <w:r w:rsidRPr="00F17FC5">
        <w:rPr>
          <w:sz w:val="24"/>
          <w:szCs w:val="24"/>
        </w:rPr>
        <w:t xml:space="preserve">stellte </w:t>
      </w:r>
      <w:r w:rsidR="00165F39" w:rsidRPr="00F17FC5">
        <w:rPr>
          <w:sz w:val="24"/>
          <w:szCs w:val="24"/>
        </w:rPr>
        <w:t xml:space="preserve">für Hitler </w:t>
      </w:r>
      <w:r w:rsidRPr="00F17FC5">
        <w:rPr>
          <w:sz w:val="24"/>
          <w:szCs w:val="24"/>
        </w:rPr>
        <w:t>von di</w:t>
      </w:r>
      <w:r w:rsidRPr="00F17FC5">
        <w:rPr>
          <w:sz w:val="24"/>
          <w:szCs w:val="24"/>
        </w:rPr>
        <w:t>e</w:t>
      </w:r>
      <w:r w:rsidRPr="00F17FC5">
        <w:rPr>
          <w:sz w:val="24"/>
          <w:szCs w:val="24"/>
        </w:rPr>
        <w:t>sem Moment an keine Gefahr mehr dar.</w:t>
      </w:r>
      <w:r>
        <w:rPr>
          <w:sz w:val="24"/>
          <w:szCs w:val="24"/>
        </w:rPr>
        <w:t xml:space="preserve"> </w:t>
      </w:r>
      <w:r w:rsidR="00E7688C">
        <w:rPr>
          <w:sz w:val="24"/>
          <w:szCs w:val="24"/>
        </w:rPr>
        <w:t>Die</w:t>
      </w:r>
      <w:r w:rsidR="00165F39">
        <w:rPr>
          <w:sz w:val="24"/>
          <w:szCs w:val="24"/>
        </w:rPr>
        <w:t xml:space="preserve"> gleich</w:t>
      </w:r>
      <w:r w:rsidR="00E7688C">
        <w:rPr>
          <w:sz w:val="24"/>
          <w:szCs w:val="24"/>
        </w:rPr>
        <w:t>e</w:t>
      </w:r>
      <w:r w:rsidR="006F0639">
        <w:rPr>
          <w:sz w:val="24"/>
          <w:szCs w:val="24"/>
        </w:rPr>
        <w:t xml:space="preserve"> Wirkung hatte das Abstimmungsergebnis </w:t>
      </w:r>
      <w:r w:rsidR="00F17FC5">
        <w:rPr>
          <w:sz w:val="24"/>
          <w:szCs w:val="24"/>
        </w:rPr>
        <w:t>auf</w:t>
      </w:r>
      <w:r w:rsidR="003E52F0">
        <w:rPr>
          <w:sz w:val="24"/>
          <w:szCs w:val="24"/>
        </w:rPr>
        <w:t xml:space="preserve"> die europäische</w:t>
      </w:r>
      <w:r w:rsidR="00C114E3">
        <w:rPr>
          <w:sz w:val="24"/>
          <w:szCs w:val="24"/>
        </w:rPr>
        <w:t>n</w:t>
      </w:r>
      <w:r w:rsidR="003E52F0">
        <w:rPr>
          <w:sz w:val="24"/>
          <w:szCs w:val="24"/>
        </w:rPr>
        <w:t xml:space="preserve"> Nachbarstaaten. Die Niederlage </w:t>
      </w:r>
      <w:r w:rsidR="00F17FC5">
        <w:rPr>
          <w:sz w:val="24"/>
          <w:szCs w:val="24"/>
        </w:rPr>
        <w:t xml:space="preserve">im Kampf </w:t>
      </w:r>
      <w:r w:rsidR="006F0639">
        <w:rPr>
          <w:sz w:val="24"/>
          <w:szCs w:val="24"/>
        </w:rPr>
        <w:t xml:space="preserve">für </w:t>
      </w:r>
      <w:r w:rsidR="00F17FC5">
        <w:rPr>
          <w:sz w:val="24"/>
          <w:szCs w:val="24"/>
        </w:rPr>
        <w:t>di</w:t>
      </w:r>
      <w:r w:rsidR="006F0639">
        <w:rPr>
          <w:sz w:val="24"/>
          <w:szCs w:val="24"/>
        </w:rPr>
        <w:t xml:space="preserve">e Fortführung des </w:t>
      </w:r>
      <w:r w:rsidR="003E52F0">
        <w:rPr>
          <w:sz w:val="24"/>
          <w:szCs w:val="24"/>
        </w:rPr>
        <w:t>St</w:t>
      </w:r>
      <w:r w:rsidR="003E52F0">
        <w:rPr>
          <w:sz w:val="24"/>
          <w:szCs w:val="24"/>
        </w:rPr>
        <w:t>a</w:t>
      </w:r>
      <w:r w:rsidR="003E52F0">
        <w:rPr>
          <w:sz w:val="24"/>
          <w:szCs w:val="24"/>
        </w:rPr>
        <w:t xml:space="preserve">tus quo </w:t>
      </w:r>
      <w:r w:rsidR="008E4240">
        <w:rPr>
          <w:sz w:val="24"/>
          <w:szCs w:val="24"/>
        </w:rPr>
        <w:t>führte</w:t>
      </w:r>
      <w:r w:rsidR="003E52F0">
        <w:rPr>
          <w:sz w:val="24"/>
          <w:szCs w:val="24"/>
        </w:rPr>
        <w:t xml:space="preserve"> </w:t>
      </w:r>
      <w:r w:rsidR="00165F39">
        <w:rPr>
          <w:sz w:val="24"/>
          <w:szCs w:val="24"/>
        </w:rPr>
        <w:t>ihne</w:t>
      </w:r>
      <w:r w:rsidR="008A6806">
        <w:rPr>
          <w:sz w:val="24"/>
          <w:szCs w:val="24"/>
        </w:rPr>
        <w:t>n</w:t>
      </w:r>
      <w:r w:rsidR="003E52F0">
        <w:rPr>
          <w:sz w:val="24"/>
          <w:szCs w:val="24"/>
        </w:rPr>
        <w:t xml:space="preserve"> vor Augen, </w:t>
      </w:r>
      <w:r w:rsidR="00165F39">
        <w:rPr>
          <w:sz w:val="24"/>
          <w:szCs w:val="24"/>
        </w:rPr>
        <w:t xml:space="preserve">dass das Exil ein </w:t>
      </w:r>
      <w:r w:rsidR="001F218F">
        <w:rPr>
          <w:sz w:val="24"/>
          <w:szCs w:val="24"/>
        </w:rPr>
        <w:t xml:space="preserve">politisch </w:t>
      </w:r>
      <w:r w:rsidR="00165F39">
        <w:rPr>
          <w:sz w:val="24"/>
          <w:szCs w:val="24"/>
        </w:rPr>
        <w:t xml:space="preserve">nahezu </w:t>
      </w:r>
      <w:r>
        <w:rPr>
          <w:sz w:val="24"/>
          <w:szCs w:val="24"/>
        </w:rPr>
        <w:t>wertlos</w:t>
      </w:r>
      <w:r w:rsidR="008E4240">
        <w:rPr>
          <w:sz w:val="24"/>
          <w:szCs w:val="24"/>
        </w:rPr>
        <w:t>er</w:t>
      </w:r>
      <w:r>
        <w:rPr>
          <w:sz w:val="24"/>
          <w:szCs w:val="24"/>
        </w:rPr>
        <w:t xml:space="preserve"> Partner </w:t>
      </w:r>
      <w:r w:rsidR="008E4240">
        <w:rPr>
          <w:sz w:val="24"/>
          <w:szCs w:val="24"/>
        </w:rPr>
        <w:t>war</w:t>
      </w:r>
      <w:r w:rsidR="00165F39">
        <w:rPr>
          <w:sz w:val="24"/>
          <w:szCs w:val="24"/>
        </w:rPr>
        <w:t>,</w:t>
      </w:r>
      <w:r w:rsidR="008E4240">
        <w:rPr>
          <w:sz w:val="24"/>
          <w:szCs w:val="24"/>
        </w:rPr>
        <w:t xml:space="preserve"> eine Größe ohne Gewicht</w:t>
      </w:r>
      <w:r w:rsidR="008A6806">
        <w:rPr>
          <w:sz w:val="24"/>
          <w:szCs w:val="24"/>
        </w:rPr>
        <w:t xml:space="preserve">. </w:t>
      </w:r>
      <w:r w:rsidR="000672B5">
        <w:rPr>
          <w:sz w:val="24"/>
          <w:szCs w:val="24"/>
        </w:rPr>
        <w:t>Hitler hatte an der Saar mehr als nur einen Abstimmungssieg errungen</w:t>
      </w:r>
      <w:r w:rsidR="00E7688C">
        <w:rPr>
          <w:sz w:val="24"/>
          <w:szCs w:val="24"/>
        </w:rPr>
        <w:t>.</w:t>
      </w:r>
      <w:r w:rsidR="000672B5">
        <w:rPr>
          <w:sz w:val="24"/>
          <w:szCs w:val="24"/>
        </w:rPr>
        <w:t xml:space="preserve"> </w:t>
      </w:r>
      <w:r w:rsidR="00E7688C">
        <w:rPr>
          <w:sz w:val="24"/>
          <w:szCs w:val="24"/>
        </w:rPr>
        <w:t>E</w:t>
      </w:r>
      <w:r w:rsidR="000672B5">
        <w:rPr>
          <w:sz w:val="24"/>
          <w:szCs w:val="24"/>
        </w:rPr>
        <w:t xml:space="preserve">r hatte </w:t>
      </w:r>
      <w:r w:rsidR="008E4240">
        <w:rPr>
          <w:sz w:val="24"/>
          <w:szCs w:val="24"/>
        </w:rPr>
        <w:t>d</w:t>
      </w:r>
      <w:r w:rsidR="00F637CF">
        <w:rPr>
          <w:sz w:val="24"/>
          <w:szCs w:val="24"/>
        </w:rPr>
        <w:t>em</w:t>
      </w:r>
      <w:r w:rsidR="008E4240">
        <w:rPr>
          <w:sz w:val="24"/>
          <w:szCs w:val="24"/>
        </w:rPr>
        <w:t xml:space="preserve"> Exil </w:t>
      </w:r>
      <w:r w:rsidR="00F637CF">
        <w:rPr>
          <w:sz w:val="24"/>
          <w:szCs w:val="24"/>
        </w:rPr>
        <w:t xml:space="preserve">zwar nicht die </w:t>
      </w:r>
      <w:r w:rsidR="006F0639">
        <w:rPr>
          <w:sz w:val="24"/>
          <w:szCs w:val="24"/>
        </w:rPr>
        <w:t>Kraft zur politischen Äußerung</w:t>
      </w:r>
      <w:r w:rsidR="00F637CF">
        <w:rPr>
          <w:sz w:val="24"/>
          <w:szCs w:val="24"/>
        </w:rPr>
        <w:t xml:space="preserve"> nehmen können, ihm jedoch die Chancen </w:t>
      </w:r>
      <w:r w:rsidR="001F218F">
        <w:rPr>
          <w:sz w:val="24"/>
          <w:szCs w:val="24"/>
        </w:rPr>
        <w:t>konkret</w:t>
      </w:r>
      <w:r w:rsidR="00F637CF">
        <w:rPr>
          <w:sz w:val="24"/>
          <w:szCs w:val="24"/>
        </w:rPr>
        <w:t xml:space="preserve">er Einflussnahme </w:t>
      </w:r>
      <w:r w:rsidR="001F218F">
        <w:rPr>
          <w:sz w:val="24"/>
          <w:szCs w:val="24"/>
        </w:rPr>
        <w:t xml:space="preserve">auf den Kurs der europäischen Mächte </w:t>
      </w:r>
      <w:r w:rsidR="00C114E3">
        <w:rPr>
          <w:sz w:val="24"/>
          <w:szCs w:val="24"/>
        </w:rPr>
        <w:t>endgültig</w:t>
      </w:r>
      <w:r w:rsidR="00F637CF">
        <w:rPr>
          <w:sz w:val="24"/>
          <w:szCs w:val="24"/>
        </w:rPr>
        <w:t xml:space="preserve"> g</w:t>
      </w:r>
      <w:r w:rsidR="00F637CF">
        <w:rPr>
          <w:sz w:val="24"/>
          <w:szCs w:val="24"/>
        </w:rPr>
        <w:t>e</w:t>
      </w:r>
      <w:r w:rsidR="006F0639">
        <w:rPr>
          <w:sz w:val="24"/>
          <w:szCs w:val="24"/>
        </w:rPr>
        <w:t>raubt</w:t>
      </w:r>
      <w:r w:rsidR="008E4240">
        <w:rPr>
          <w:sz w:val="24"/>
          <w:szCs w:val="24"/>
        </w:rPr>
        <w:t>.</w:t>
      </w:r>
      <w:r w:rsidR="008A6806">
        <w:rPr>
          <w:sz w:val="24"/>
          <w:szCs w:val="24"/>
        </w:rPr>
        <w:t xml:space="preserve"> Diejenigen, die sich diese Konsequenzen </w:t>
      </w:r>
      <w:r w:rsidR="008A6806" w:rsidRPr="008A6806">
        <w:rPr>
          <w:i/>
          <w:sz w:val="24"/>
          <w:szCs w:val="24"/>
        </w:rPr>
        <w:t>nicht</w:t>
      </w:r>
      <w:r w:rsidR="008A6806">
        <w:rPr>
          <w:sz w:val="24"/>
          <w:szCs w:val="24"/>
        </w:rPr>
        <w:t xml:space="preserve"> vor Augen führten, waren die Exi</w:t>
      </w:r>
      <w:r w:rsidR="008A6806">
        <w:rPr>
          <w:sz w:val="24"/>
          <w:szCs w:val="24"/>
        </w:rPr>
        <w:t>l</w:t>
      </w:r>
      <w:r w:rsidR="008A6806">
        <w:rPr>
          <w:sz w:val="24"/>
          <w:szCs w:val="24"/>
        </w:rPr>
        <w:t xml:space="preserve">schriftsteller. Sie hätten von jetzt an skeptisch sein müssen, ob es für den Kampf gegen das Dritte Reich tatsächlich richtig und hilfreich war, den Parteien </w:t>
      </w:r>
      <w:r w:rsidR="00A70DC7">
        <w:rPr>
          <w:sz w:val="24"/>
          <w:szCs w:val="24"/>
        </w:rPr>
        <w:t>und ihrem Ruf nach Unterstü</w:t>
      </w:r>
      <w:r w:rsidR="00A70DC7">
        <w:rPr>
          <w:sz w:val="24"/>
          <w:szCs w:val="24"/>
        </w:rPr>
        <w:t>t</w:t>
      </w:r>
      <w:r w:rsidR="00A70DC7">
        <w:rPr>
          <w:sz w:val="24"/>
          <w:szCs w:val="24"/>
        </w:rPr>
        <w:t xml:space="preserve">zung </w:t>
      </w:r>
      <w:r w:rsidR="008A6806">
        <w:rPr>
          <w:sz w:val="24"/>
          <w:szCs w:val="24"/>
        </w:rPr>
        <w:t xml:space="preserve">blind zu folgen. </w:t>
      </w:r>
    </w:p>
    <w:p w:rsidR="006D25C4" w:rsidRDefault="006D25C4" w:rsidP="001D2105">
      <w:pPr>
        <w:spacing w:after="0"/>
        <w:ind w:firstLine="708"/>
        <w:jc w:val="both"/>
        <w:rPr>
          <w:sz w:val="24"/>
          <w:szCs w:val="24"/>
        </w:rPr>
      </w:pPr>
    </w:p>
    <w:p w:rsidR="00C5724A" w:rsidRDefault="00707BF3" w:rsidP="001D2105">
      <w:pPr>
        <w:spacing w:after="0"/>
        <w:jc w:val="both"/>
        <w:rPr>
          <w:sz w:val="24"/>
          <w:szCs w:val="24"/>
        </w:rPr>
      </w:pPr>
      <w:r>
        <w:rPr>
          <w:sz w:val="24"/>
          <w:szCs w:val="24"/>
        </w:rPr>
        <w:tab/>
      </w:r>
      <w:r w:rsidR="001F218F">
        <w:rPr>
          <w:sz w:val="24"/>
          <w:szCs w:val="24"/>
        </w:rPr>
        <w:t>Das Ausmaß des Desasters</w:t>
      </w:r>
      <w:r w:rsidR="00EB3E4D">
        <w:rPr>
          <w:sz w:val="24"/>
          <w:szCs w:val="24"/>
        </w:rPr>
        <w:t xml:space="preserve"> wird </w:t>
      </w:r>
      <w:r w:rsidR="009033BF">
        <w:rPr>
          <w:sz w:val="24"/>
          <w:szCs w:val="24"/>
        </w:rPr>
        <w:t xml:space="preserve">in seiner Bedeutung </w:t>
      </w:r>
      <w:r w:rsidR="00EB3E4D">
        <w:rPr>
          <w:sz w:val="24"/>
          <w:szCs w:val="24"/>
        </w:rPr>
        <w:t>erkennbar, wenn man einen Blick auf die a</w:t>
      </w:r>
      <w:r w:rsidR="00F637CF">
        <w:rPr>
          <w:sz w:val="24"/>
          <w:szCs w:val="24"/>
        </w:rPr>
        <w:t>ußenpoliti</w:t>
      </w:r>
      <w:r w:rsidR="00EB3E4D">
        <w:rPr>
          <w:sz w:val="24"/>
          <w:szCs w:val="24"/>
        </w:rPr>
        <w:t>sche Entwicklung wirft</w:t>
      </w:r>
      <w:r w:rsidR="001F218F">
        <w:rPr>
          <w:sz w:val="24"/>
          <w:szCs w:val="24"/>
        </w:rPr>
        <w:t xml:space="preserve">. </w:t>
      </w:r>
      <w:r w:rsidR="006F0639">
        <w:rPr>
          <w:sz w:val="24"/>
          <w:szCs w:val="24"/>
        </w:rPr>
        <w:t xml:space="preserve">Hitler </w:t>
      </w:r>
      <w:r w:rsidR="007803BD">
        <w:rPr>
          <w:sz w:val="24"/>
          <w:szCs w:val="24"/>
        </w:rPr>
        <w:t>agierte</w:t>
      </w:r>
      <w:r w:rsidR="006F0639">
        <w:rPr>
          <w:sz w:val="24"/>
          <w:szCs w:val="24"/>
        </w:rPr>
        <w:t xml:space="preserve"> in </w:t>
      </w:r>
      <w:r w:rsidR="007803BD">
        <w:rPr>
          <w:sz w:val="24"/>
          <w:szCs w:val="24"/>
        </w:rPr>
        <w:t>d</w:t>
      </w:r>
      <w:r w:rsidR="006F0639">
        <w:rPr>
          <w:sz w:val="24"/>
          <w:szCs w:val="24"/>
        </w:rPr>
        <w:t>er Außenpolitik außero</w:t>
      </w:r>
      <w:r w:rsidR="006F0639">
        <w:rPr>
          <w:sz w:val="24"/>
          <w:szCs w:val="24"/>
        </w:rPr>
        <w:t>r</w:t>
      </w:r>
      <w:r w:rsidR="006F0639">
        <w:rPr>
          <w:sz w:val="24"/>
          <w:szCs w:val="24"/>
        </w:rPr>
        <w:t xml:space="preserve">dentlich </w:t>
      </w:r>
      <w:r w:rsidR="0052717D">
        <w:rPr>
          <w:sz w:val="24"/>
          <w:szCs w:val="24"/>
        </w:rPr>
        <w:t>um</w:t>
      </w:r>
      <w:r w:rsidR="006F0639">
        <w:rPr>
          <w:sz w:val="24"/>
          <w:szCs w:val="24"/>
        </w:rPr>
        <w:t>sichtig</w:t>
      </w:r>
      <w:r w:rsidR="0052717D">
        <w:rPr>
          <w:sz w:val="24"/>
          <w:szCs w:val="24"/>
        </w:rPr>
        <w:t>, zum Teil opportunistisch</w:t>
      </w:r>
      <w:r w:rsidR="006F0639">
        <w:rPr>
          <w:sz w:val="24"/>
          <w:szCs w:val="24"/>
        </w:rPr>
        <w:t>.</w:t>
      </w:r>
      <w:r w:rsidR="006F0639">
        <w:rPr>
          <w:rStyle w:val="Funotenzeichen"/>
          <w:sz w:val="24"/>
          <w:szCs w:val="24"/>
        </w:rPr>
        <w:footnoteReference w:id="17"/>
      </w:r>
      <w:r w:rsidR="0052717D">
        <w:rPr>
          <w:sz w:val="24"/>
          <w:szCs w:val="24"/>
        </w:rPr>
        <w:t xml:space="preserve"> Im Verhältnis zur Sowjetunion erklärte </w:t>
      </w:r>
      <w:r w:rsidR="00A70DC7">
        <w:rPr>
          <w:sz w:val="24"/>
          <w:szCs w:val="24"/>
        </w:rPr>
        <w:t xml:space="preserve">er </w:t>
      </w:r>
      <w:r w:rsidR="0052717D">
        <w:rPr>
          <w:sz w:val="24"/>
          <w:szCs w:val="24"/>
        </w:rPr>
        <w:t xml:space="preserve">sich </w:t>
      </w:r>
      <w:r w:rsidR="001F218F">
        <w:rPr>
          <w:sz w:val="24"/>
          <w:szCs w:val="24"/>
        </w:rPr>
        <w:t xml:space="preserve">z.B. </w:t>
      </w:r>
      <w:r w:rsidR="0052717D">
        <w:rPr>
          <w:sz w:val="24"/>
          <w:szCs w:val="24"/>
        </w:rPr>
        <w:t xml:space="preserve">damit einverstanden, die bisherige deutsch-sowjetische Zusammenarbeit </w:t>
      </w:r>
      <w:r w:rsidR="0052717D" w:rsidRPr="00C5724A">
        <w:rPr>
          <w:i/>
          <w:sz w:val="24"/>
          <w:szCs w:val="24"/>
        </w:rPr>
        <w:t>auf allen Gebi</w:t>
      </w:r>
      <w:r w:rsidR="0052717D" w:rsidRPr="00C5724A">
        <w:rPr>
          <w:i/>
          <w:sz w:val="24"/>
          <w:szCs w:val="24"/>
        </w:rPr>
        <w:t>e</w:t>
      </w:r>
      <w:r w:rsidR="0052717D" w:rsidRPr="00C5724A">
        <w:rPr>
          <w:i/>
          <w:sz w:val="24"/>
          <w:szCs w:val="24"/>
        </w:rPr>
        <w:t>ten</w:t>
      </w:r>
      <w:r w:rsidR="0052717D">
        <w:rPr>
          <w:sz w:val="24"/>
          <w:szCs w:val="24"/>
        </w:rPr>
        <w:t xml:space="preserve"> fortzusetzen. In einer Regierungserklärung vom 23. März 1933 zog er </w:t>
      </w:r>
      <w:r w:rsidR="00C5724A">
        <w:rPr>
          <w:sz w:val="24"/>
          <w:szCs w:val="24"/>
        </w:rPr>
        <w:t xml:space="preserve">zudem </w:t>
      </w:r>
      <w:r w:rsidR="0052717D">
        <w:rPr>
          <w:sz w:val="24"/>
          <w:szCs w:val="24"/>
        </w:rPr>
        <w:t xml:space="preserve">einen klaren Trennstrich zwischen der Ausschaltung der Kommunisten </w:t>
      </w:r>
      <w:r w:rsidR="0052717D">
        <w:rPr>
          <w:i/>
          <w:sz w:val="24"/>
          <w:szCs w:val="24"/>
        </w:rPr>
        <w:t>in Deutschland</w:t>
      </w:r>
      <w:r w:rsidR="0052717D">
        <w:rPr>
          <w:sz w:val="24"/>
          <w:szCs w:val="24"/>
        </w:rPr>
        <w:t xml:space="preserve"> und den </w:t>
      </w:r>
      <w:r w:rsidR="0052717D" w:rsidRPr="00C5724A">
        <w:rPr>
          <w:i/>
          <w:sz w:val="24"/>
          <w:szCs w:val="24"/>
        </w:rPr>
        <w:t>Beziehu</w:t>
      </w:r>
      <w:r w:rsidR="0052717D" w:rsidRPr="00C5724A">
        <w:rPr>
          <w:i/>
          <w:sz w:val="24"/>
          <w:szCs w:val="24"/>
        </w:rPr>
        <w:t>n</w:t>
      </w:r>
      <w:r w:rsidR="0052717D" w:rsidRPr="00C5724A">
        <w:rPr>
          <w:i/>
          <w:sz w:val="24"/>
          <w:szCs w:val="24"/>
        </w:rPr>
        <w:t>gen</w:t>
      </w:r>
      <w:r w:rsidR="0052717D">
        <w:rPr>
          <w:sz w:val="24"/>
          <w:szCs w:val="24"/>
        </w:rPr>
        <w:t xml:space="preserve"> </w:t>
      </w:r>
      <w:r w:rsidR="0052717D" w:rsidRPr="007803BD">
        <w:rPr>
          <w:i/>
          <w:sz w:val="24"/>
          <w:szCs w:val="24"/>
        </w:rPr>
        <w:t>zur UdSSR</w:t>
      </w:r>
      <w:r w:rsidR="0052717D">
        <w:rPr>
          <w:sz w:val="24"/>
          <w:szCs w:val="24"/>
        </w:rPr>
        <w:t xml:space="preserve">. </w:t>
      </w:r>
      <w:r w:rsidR="001F218F">
        <w:rPr>
          <w:sz w:val="24"/>
          <w:szCs w:val="24"/>
        </w:rPr>
        <w:t>Er</w:t>
      </w:r>
      <w:r w:rsidR="0052717D">
        <w:rPr>
          <w:sz w:val="24"/>
          <w:szCs w:val="24"/>
        </w:rPr>
        <w:t xml:space="preserve"> stimmte der Verlängerung des Freundschafts- und Nichtangriffsvertrags mit der UdSSR vom 24. April 1926 zu. </w:t>
      </w:r>
      <w:r w:rsidR="00A70DC7">
        <w:rPr>
          <w:sz w:val="24"/>
          <w:szCs w:val="24"/>
        </w:rPr>
        <w:t>Die Ratifizierung d</w:t>
      </w:r>
      <w:r w:rsidR="001F218F">
        <w:rPr>
          <w:sz w:val="24"/>
          <w:szCs w:val="24"/>
        </w:rPr>
        <w:t>ieser</w:t>
      </w:r>
      <w:r w:rsidR="00A70DC7">
        <w:rPr>
          <w:sz w:val="24"/>
          <w:szCs w:val="24"/>
        </w:rPr>
        <w:t xml:space="preserve"> Vertrags</w:t>
      </w:r>
      <w:r w:rsidR="001F218F">
        <w:rPr>
          <w:sz w:val="24"/>
          <w:szCs w:val="24"/>
        </w:rPr>
        <w:t>verlängerung</w:t>
      </w:r>
      <w:r w:rsidR="00A70DC7">
        <w:rPr>
          <w:sz w:val="24"/>
          <w:szCs w:val="24"/>
        </w:rPr>
        <w:t xml:space="preserve"> erfol</w:t>
      </w:r>
      <w:r w:rsidR="00A70DC7">
        <w:rPr>
          <w:sz w:val="24"/>
          <w:szCs w:val="24"/>
        </w:rPr>
        <w:t>g</w:t>
      </w:r>
      <w:r w:rsidR="00A70DC7">
        <w:rPr>
          <w:sz w:val="24"/>
          <w:szCs w:val="24"/>
        </w:rPr>
        <w:t>te a</w:t>
      </w:r>
      <w:r w:rsidR="0052717D">
        <w:rPr>
          <w:sz w:val="24"/>
          <w:szCs w:val="24"/>
        </w:rPr>
        <w:t xml:space="preserve">m 5. Mai </w:t>
      </w:r>
      <w:r w:rsidR="001F218F">
        <w:rPr>
          <w:sz w:val="24"/>
          <w:szCs w:val="24"/>
        </w:rPr>
        <w:t xml:space="preserve">1933 </w:t>
      </w:r>
      <w:r w:rsidR="0052717D">
        <w:rPr>
          <w:sz w:val="24"/>
          <w:szCs w:val="24"/>
        </w:rPr>
        <w:t xml:space="preserve">in Moskau. </w:t>
      </w:r>
    </w:p>
    <w:p w:rsidR="00C5724A" w:rsidRDefault="0052717D" w:rsidP="001D2105">
      <w:pPr>
        <w:spacing w:after="0"/>
        <w:ind w:firstLine="708"/>
        <w:jc w:val="both"/>
        <w:rPr>
          <w:sz w:val="24"/>
          <w:szCs w:val="24"/>
        </w:rPr>
      </w:pPr>
      <w:r>
        <w:rPr>
          <w:sz w:val="24"/>
          <w:szCs w:val="24"/>
        </w:rPr>
        <w:t>Der Vatikan strebte ein Konkordat mit Deutschland</w:t>
      </w:r>
      <w:r w:rsidR="002F2771">
        <w:rPr>
          <w:sz w:val="24"/>
          <w:szCs w:val="24"/>
        </w:rPr>
        <w:t xml:space="preserve"> nach dem Modell der Lateranve</w:t>
      </w:r>
      <w:r w:rsidR="002F2771">
        <w:rPr>
          <w:sz w:val="24"/>
          <w:szCs w:val="24"/>
        </w:rPr>
        <w:t>r</w:t>
      </w:r>
      <w:r w:rsidR="002F2771">
        <w:rPr>
          <w:sz w:val="24"/>
          <w:szCs w:val="24"/>
        </w:rPr>
        <w:t xml:space="preserve">träge von 1929 zwischen Mussolini und </w:t>
      </w:r>
      <w:proofErr w:type="spellStart"/>
      <w:r w:rsidR="002F2771">
        <w:rPr>
          <w:sz w:val="24"/>
          <w:szCs w:val="24"/>
        </w:rPr>
        <w:t>Piux</w:t>
      </w:r>
      <w:proofErr w:type="spellEnd"/>
      <w:r w:rsidR="002F2771">
        <w:rPr>
          <w:sz w:val="24"/>
          <w:szCs w:val="24"/>
        </w:rPr>
        <w:t xml:space="preserve"> XI. an. Als Vermittler </w:t>
      </w:r>
      <w:r w:rsidR="00C5724A">
        <w:rPr>
          <w:sz w:val="24"/>
          <w:szCs w:val="24"/>
        </w:rPr>
        <w:t xml:space="preserve">zwischen dem Vatikan und dem Dritten Reich fungierte </w:t>
      </w:r>
      <w:r w:rsidR="002F2771">
        <w:rPr>
          <w:sz w:val="24"/>
          <w:szCs w:val="24"/>
        </w:rPr>
        <w:t xml:space="preserve">Mussolini. Ludolf Herbst urteilt über die Bedeutung des </w:t>
      </w:r>
      <w:r w:rsidR="00C5724A">
        <w:rPr>
          <w:sz w:val="24"/>
          <w:szCs w:val="24"/>
        </w:rPr>
        <w:t>Konkordat</w:t>
      </w:r>
      <w:r w:rsidR="002F2771">
        <w:rPr>
          <w:sz w:val="24"/>
          <w:szCs w:val="24"/>
        </w:rPr>
        <w:t>s: „Dem Papst kommt das fragwürdige Verdienst zu, auf diesen Wunsch eingega</w:t>
      </w:r>
      <w:r w:rsidR="002F2771">
        <w:rPr>
          <w:sz w:val="24"/>
          <w:szCs w:val="24"/>
        </w:rPr>
        <w:t>n</w:t>
      </w:r>
      <w:r w:rsidR="002F2771">
        <w:rPr>
          <w:sz w:val="24"/>
          <w:szCs w:val="24"/>
        </w:rPr>
        <w:t>gen zu sein und den ersten völkerrechtlich gültigen Vertrag […] mit der Regierung Adolf Hi</w:t>
      </w:r>
      <w:r w:rsidR="002F2771">
        <w:rPr>
          <w:sz w:val="24"/>
          <w:szCs w:val="24"/>
        </w:rPr>
        <w:t>t</w:t>
      </w:r>
      <w:r w:rsidR="002F2771">
        <w:rPr>
          <w:sz w:val="24"/>
          <w:szCs w:val="24"/>
        </w:rPr>
        <w:t>lers abgeschlossen zu haben.“</w:t>
      </w:r>
      <w:r w:rsidR="002F2771">
        <w:rPr>
          <w:rStyle w:val="Funotenzeichen"/>
          <w:sz w:val="24"/>
          <w:szCs w:val="24"/>
        </w:rPr>
        <w:footnoteReference w:id="18"/>
      </w:r>
      <w:r w:rsidR="00A70DC7">
        <w:rPr>
          <w:sz w:val="24"/>
          <w:szCs w:val="24"/>
        </w:rPr>
        <w:t xml:space="preserve"> – A</w:t>
      </w:r>
      <w:r w:rsidR="002F2771">
        <w:rPr>
          <w:sz w:val="24"/>
          <w:szCs w:val="24"/>
        </w:rPr>
        <w:t>m 14. Oktober 1933 erfolgte der Austritt aus dem Völke</w:t>
      </w:r>
      <w:r w:rsidR="002F2771">
        <w:rPr>
          <w:sz w:val="24"/>
          <w:szCs w:val="24"/>
        </w:rPr>
        <w:t>r</w:t>
      </w:r>
      <w:r w:rsidR="002F2771">
        <w:rPr>
          <w:sz w:val="24"/>
          <w:szCs w:val="24"/>
        </w:rPr>
        <w:t xml:space="preserve">bund, verbunden mit der Auflösung des Reichstags, einem Volksentscheid über die Politik der Reichsregierung </w:t>
      </w:r>
      <w:r w:rsidR="007803BD">
        <w:rPr>
          <w:sz w:val="24"/>
          <w:szCs w:val="24"/>
        </w:rPr>
        <w:t>sowie</w:t>
      </w:r>
      <w:r w:rsidR="002F2771">
        <w:rPr>
          <w:sz w:val="24"/>
          <w:szCs w:val="24"/>
        </w:rPr>
        <w:t xml:space="preserve"> dem Angebot über die französische Regierung unter Édouard Dal</w:t>
      </w:r>
      <w:r w:rsidR="002F2771">
        <w:rPr>
          <w:sz w:val="24"/>
          <w:szCs w:val="24"/>
        </w:rPr>
        <w:t>a</w:t>
      </w:r>
      <w:r w:rsidR="002F2771">
        <w:rPr>
          <w:sz w:val="24"/>
          <w:szCs w:val="24"/>
        </w:rPr>
        <w:t xml:space="preserve">dier, Probleme und Divergenzen in direkten Verhandlungen auszuräumen. </w:t>
      </w:r>
      <w:r w:rsidR="00E66CAE">
        <w:rPr>
          <w:sz w:val="24"/>
          <w:szCs w:val="24"/>
        </w:rPr>
        <w:t xml:space="preserve">– </w:t>
      </w:r>
      <w:r w:rsidR="00C5724A">
        <w:rPr>
          <w:sz w:val="24"/>
          <w:szCs w:val="24"/>
        </w:rPr>
        <w:t>Hitler bemühte sich g</w:t>
      </w:r>
      <w:r w:rsidR="00531795">
        <w:rPr>
          <w:sz w:val="24"/>
          <w:szCs w:val="24"/>
        </w:rPr>
        <w:t xml:space="preserve">egenüber Großbritannien </w:t>
      </w:r>
      <w:r w:rsidR="00E66CAE">
        <w:rPr>
          <w:sz w:val="24"/>
          <w:szCs w:val="24"/>
        </w:rPr>
        <w:t>um eine Verbesserung der diplomatischen Beziehungen. Er</w:t>
      </w:r>
      <w:r w:rsidR="00717B16">
        <w:rPr>
          <w:sz w:val="24"/>
          <w:szCs w:val="24"/>
        </w:rPr>
        <w:t xml:space="preserve"> </w:t>
      </w:r>
      <w:r w:rsidR="00531795">
        <w:rPr>
          <w:sz w:val="24"/>
          <w:szCs w:val="24"/>
        </w:rPr>
        <w:t xml:space="preserve">sprach </w:t>
      </w:r>
      <w:r w:rsidR="00717B16">
        <w:rPr>
          <w:sz w:val="24"/>
          <w:szCs w:val="24"/>
        </w:rPr>
        <w:t xml:space="preserve">werbend </w:t>
      </w:r>
      <w:r w:rsidR="00531795">
        <w:rPr>
          <w:sz w:val="24"/>
          <w:szCs w:val="24"/>
        </w:rPr>
        <w:t xml:space="preserve">von den Gemeinsamkeiten der „beiden großen germanischen Völker“ und </w:t>
      </w:r>
      <w:r w:rsidR="00E66CAE">
        <w:rPr>
          <w:sz w:val="24"/>
          <w:szCs w:val="24"/>
        </w:rPr>
        <w:lastRenderedPageBreak/>
        <w:t xml:space="preserve">äußerte die Hoffnung, </w:t>
      </w:r>
      <w:r w:rsidR="00531795">
        <w:rPr>
          <w:sz w:val="24"/>
          <w:szCs w:val="24"/>
        </w:rPr>
        <w:t>dass die „beiden verwandten Nationen“ bald „zur alten Freundschaft zurückfinden“.</w:t>
      </w:r>
    </w:p>
    <w:p w:rsidR="00971F01" w:rsidRDefault="00E66CAE" w:rsidP="001D2105">
      <w:pPr>
        <w:spacing w:after="0"/>
        <w:ind w:firstLine="708"/>
        <w:jc w:val="both"/>
        <w:rPr>
          <w:sz w:val="24"/>
          <w:szCs w:val="24"/>
        </w:rPr>
      </w:pPr>
      <w:r>
        <w:rPr>
          <w:sz w:val="24"/>
          <w:szCs w:val="24"/>
        </w:rPr>
        <w:t>H</w:t>
      </w:r>
      <w:r w:rsidR="00531795">
        <w:rPr>
          <w:sz w:val="24"/>
          <w:szCs w:val="24"/>
        </w:rPr>
        <w:t xml:space="preserve">itler </w:t>
      </w:r>
      <w:r w:rsidR="00C5724A">
        <w:rPr>
          <w:sz w:val="24"/>
          <w:szCs w:val="24"/>
        </w:rPr>
        <w:t xml:space="preserve">suchte die Annäherung an Polen, wobei er </w:t>
      </w:r>
      <w:r w:rsidR="00531795">
        <w:rPr>
          <w:sz w:val="24"/>
          <w:szCs w:val="24"/>
        </w:rPr>
        <w:t>Deutschland als ein Bollwerk gegen die „Gefahr des Bolschewismus“ dar</w:t>
      </w:r>
      <w:r w:rsidR="00C5724A">
        <w:rPr>
          <w:sz w:val="24"/>
          <w:szCs w:val="24"/>
        </w:rPr>
        <w:t>stellte</w:t>
      </w:r>
      <w:r w:rsidR="00531795">
        <w:rPr>
          <w:sz w:val="24"/>
          <w:szCs w:val="24"/>
        </w:rPr>
        <w:t>.</w:t>
      </w:r>
      <w:r w:rsidR="002F2771">
        <w:rPr>
          <w:sz w:val="24"/>
          <w:szCs w:val="24"/>
        </w:rPr>
        <w:t xml:space="preserve"> </w:t>
      </w:r>
      <w:r w:rsidR="00717B16">
        <w:rPr>
          <w:sz w:val="24"/>
          <w:szCs w:val="24"/>
        </w:rPr>
        <w:t>D</w:t>
      </w:r>
      <w:r w:rsidR="008E3CD5">
        <w:rPr>
          <w:sz w:val="24"/>
          <w:szCs w:val="24"/>
        </w:rPr>
        <w:t>er entsprechende Vertrag w</w:t>
      </w:r>
      <w:r w:rsidR="001036F1">
        <w:rPr>
          <w:sz w:val="24"/>
          <w:szCs w:val="24"/>
        </w:rPr>
        <w:t>u</w:t>
      </w:r>
      <w:r w:rsidR="008E3CD5">
        <w:rPr>
          <w:sz w:val="24"/>
          <w:szCs w:val="24"/>
        </w:rPr>
        <w:t>rd</w:t>
      </w:r>
      <w:r w:rsidR="001036F1">
        <w:rPr>
          <w:sz w:val="24"/>
          <w:szCs w:val="24"/>
        </w:rPr>
        <w:t>e</w:t>
      </w:r>
      <w:r w:rsidR="008E3CD5">
        <w:rPr>
          <w:sz w:val="24"/>
          <w:szCs w:val="24"/>
        </w:rPr>
        <w:t xml:space="preserve"> im Januar 1934 in Berlin unterzeichnet</w:t>
      </w:r>
      <w:r w:rsidR="00C5724A">
        <w:rPr>
          <w:sz w:val="24"/>
          <w:szCs w:val="24"/>
        </w:rPr>
        <w:t>.</w:t>
      </w:r>
      <w:r w:rsidR="008E3CD5">
        <w:rPr>
          <w:sz w:val="24"/>
          <w:szCs w:val="24"/>
        </w:rPr>
        <w:t xml:space="preserve"> </w:t>
      </w:r>
      <w:r w:rsidR="00C5724A">
        <w:rPr>
          <w:sz w:val="24"/>
          <w:szCs w:val="24"/>
        </w:rPr>
        <w:t>Er</w:t>
      </w:r>
      <w:r w:rsidR="008E3CD5">
        <w:rPr>
          <w:sz w:val="24"/>
          <w:szCs w:val="24"/>
        </w:rPr>
        <w:t xml:space="preserve"> enth</w:t>
      </w:r>
      <w:r w:rsidR="001036F1">
        <w:rPr>
          <w:sz w:val="24"/>
          <w:szCs w:val="24"/>
        </w:rPr>
        <w:t>ie</w:t>
      </w:r>
      <w:r w:rsidR="008E3CD5">
        <w:rPr>
          <w:sz w:val="24"/>
          <w:szCs w:val="24"/>
        </w:rPr>
        <w:t xml:space="preserve">lt die Klausel, </w:t>
      </w:r>
      <w:r w:rsidR="00971F01">
        <w:rPr>
          <w:sz w:val="24"/>
          <w:szCs w:val="24"/>
        </w:rPr>
        <w:t>„</w:t>
      </w:r>
      <w:r w:rsidR="008E3CD5">
        <w:rPr>
          <w:sz w:val="24"/>
          <w:szCs w:val="24"/>
        </w:rPr>
        <w:t>sich in den ihre gegenseitigen Beziehungen betreffenden Fragen, welcher Art sie auch sein mögen, unmittelbar zu verständigen“ und auf jede „Anwendung von Gewalt“ zu verzichten.</w:t>
      </w:r>
      <w:r w:rsidR="008E3CD5">
        <w:rPr>
          <w:rStyle w:val="Funotenzeichen"/>
          <w:sz w:val="24"/>
          <w:szCs w:val="24"/>
        </w:rPr>
        <w:footnoteReference w:id="19"/>
      </w:r>
      <w:r w:rsidR="008E3CD5">
        <w:rPr>
          <w:sz w:val="24"/>
          <w:szCs w:val="24"/>
        </w:rPr>
        <w:t xml:space="preserve"> </w:t>
      </w:r>
    </w:p>
    <w:p w:rsidR="00C5724A" w:rsidRDefault="00810CEA" w:rsidP="001D2105">
      <w:pPr>
        <w:spacing w:after="0"/>
        <w:ind w:firstLine="708"/>
        <w:jc w:val="both"/>
        <w:rPr>
          <w:sz w:val="24"/>
          <w:szCs w:val="24"/>
        </w:rPr>
      </w:pPr>
      <w:r>
        <w:rPr>
          <w:sz w:val="24"/>
          <w:szCs w:val="24"/>
        </w:rPr>
        <w:t xml:space="preserve">Hitlers Beteiligung an der Ermordung des österreichischen Kanzlers </w:t>
      </w:r>
      <w:proofErr w:type="spellStart"/>
      <w:r>
        <w:rPr>
          <w:sz w:val="24"/>
          <w:szCs w:val="24"/>
        </w:rPr>
        <w:t>Dollfuß</w:t>
      </w:r>
      <w:proofErr w:type="spellEnd"/>
      <w:r>
        <w:rPr>
          <w:sz w:val="24"/>
          <w:szCs w:val="24"/>
        </w:rPr>
        <w:t xml:space="preserve"> im Juli 1934 löst</w:t>
      </w:r>
      <w:r w:rsidR="001036F1">
        <w:rPr>
          <w:sz w:val="24"/>
          <w:szCs w:val="24"/>
        </w:rPr>
        <w:t>e</w:t>
      </w:r>
      <w:r>
        <w:rPr>
          <w:sz w:val="24"/>
          <w:szCs w:val="24"/>
        </w:rPr>
        <w:t xml:space="preserve"> eine politische Krise aus und führt</w:t>
      </w:r>
      <w:r w:rsidR="001036F1">
        <w:rPr>
          <w:sz w:val="24"/>
          <w:szCs w:val="24"/>
        </w:rPr>
        <w:t>e</w:t>
      </w:r>
      <w:r>
        <w:rPr>
          <w:sz w:val="24"/>
          <w:szCs w:val="24"/>
        </w:rPr>
        <w:t xml:space="preserve"> </w:t>
      </w:r>
      <w:r w:rsidR="001036F1">
        <w:rPr>
          <w:sz w:val="24"/>
          <w:szCs w:val="24"/>
        </w:rPr>
        <w:t>vorübergehend</w:t>
      </w:r>
      <w:r w:rsidR="00C5724A">
        <w:rPr>
          <w:sz w:val="24"/>
          <w:szCs w:val="24"/>
        </w:rPr>
        <w:t xml:space="preserve"> </w:t>
      </w:r>
      <w:r>
        <w:rPr>
          <w:sz w:val="24"/>
          <w:szCs w:val="24"/>
        </w:rPr>
        <w:t>zu einer Isolierung. Das Ve</w:t>
      </w:r>
      <w:r>
        <w:rPr>
          <w:sz w:val="24"/>
          <w:szCs w:val="24"/>
        </w:rPr>
        <w:t>r</w:t>
      </w:r>
      <w:r>
        <w:rPr>
          <w:sz w:val="24"/>
          <w:szCs w:val="24"/>
        </w:rPr>
        <w:t>hältnis Mussolinis zu Hitler erreicht</w:t>
      </w:r>
      <w:r w:rsidR="001036F1">
        <w:rPr>
          <w:sz w:val="24"/>
          <w:szCs w:val="24"/>
        </w:rPr>
        <w:t>e</w:t>
      </w:r>
      <w:r>
        <w:rPr>
          <w:sz w:val="24"/>
          <w:szCs w:val="24"/>
        </w:rPr>
        <w:t xml:space="preserve"> einen Tiefpunkt. Eine Koalition, die Hitler </w:t>
      </w:r>
      <w:r w:rsidR="001036F1">
        <w:rPr>
          <w:sz w:val="24"/>
          <w:szCs w:val="24"/>
        </w:rPr>
        <w:t xml:space="preserve">hätte </w:t>
      </w:r>
      <w:r>
        <w:rPr>
          <w:sz w:val="24"/>
          <w:szCs w:val="24"/>
        </w:rPr>
        <w:t>in die Schranken weisen könne</w:t>
      </w:r>
      <w:r w:rsidR="001036F1">
        <w:rPr>
          <w:sz w:val="24"/>
          <w:szCs w:val="24"/>
        </w:rPr>
        <w:t>n</w:t>
      </w:r>
      <w:r>
        <w:rPr>
          <w:sz w:val="24"/>
          <w:szCs w:val="24"/>
        </w:rPr>
        <w:t>, k</w:t>
      </w:r>
      <w:r w:rsidR="001036F1">
        <w:rPr>
          <w:sz w:val="24"/>
          <w:szCs w:val="24"/>
        </w:rPr>
        <w:t>a</w:t>
      </w:r>
      <w:r>
        <w:rPr>
          <w:sz w:val="24"/>
          <w:szCs w:val="24"/>
        </w:rPr>
        <w:t xml:space="preserve">m jedoch nicht zustande. Dazu </w:t>
      </w:r>
      <w:r w:rsidR="001036F1">
        <w:rPr>
          <w:sz w:val="24"/>
          <w:szCs w:val="24"/>
        </w:rPr>
        <w:t>waren</w:t>
      </w:r>
      <w:r>
        <w:rPr>
          <w:sz w:val="24"/>
          <w:szCs w:val="24"/>
        </w:rPr>
        <w:t xml:space="preserve"> die Interessengegensätze in Europa zu groß und die Gefahr, die </w:t>
      </w:r>
      <w:r w:rsidR="00E66CAE">
        <w:rPr>
          <w:sz w:val="24"/>
          <w:szCs w:val="24"/>
        </w:rPr>
        <w:t xml:space="preserve">zu diesem Zeitpunkt </w:t>
      </w:r>
      <w:r>
        <w:rPr>
          <w:sz w:val="24"/>
          <w:szCs w:val="24"/>
        </w:rPr>
        <w:t>von Deutschland ausg</w:t>
      </w:r>
      <w:r w:rsidR="001036F1">
        <w:rPr>
          <w:sz w:val="24"/>
          <w:szCs w:val="24"/>
        </w:rPr>
        <w:t>ing</w:t>
      </w:r>
      <w:r>
        <w:rPr>
          <w:sz w:val="24"/>
          <w:szCs w:val="24"/>
        </w:rPr>
        <w:t xml:space="preserve">, noch zu </w:t>
      </w:r>
      <w:r w:rsidR="00E66CAE">
        <w:rPr>
          <w:sz w:val="24"/>
          <w:szCs w:val="24"/>
        </w:rPr>
        <w:t>gering</w:t>
      </w:r>
      <w:r>
        <w:rPr>
          <w:sz w:val="24"/>
          <w:szCs w:val="24"/>
        </w:rPr>
        <w:t xml:space="preserve">. </w:t>
      </w:r>
    </w:p>
    <w:p w:rsidR="00F637CF" w:rsidRDefault="00810CEA" w:rsidP="001D2105">
      <w:pPr>
        <w:spacing w:after="0"/>
        <w:ind w:firstLine="708"/>
        <w:jc w:val="both"/>
        <w:rPr>
          <w:sz w:val="24"/>
          <w:szCs w:val="24"/>
        </w:rPr>
      </w:pPr>
      <w:r>
        <w:rPr>
          <w:sz w:val="24"/>
          <w:szCs w:val="24"/>
        </w:rPr>
        <w:t>Am 16. März 1935 führt</w:t>
      </w:r>
      <w:r w:rsidR="001036F1">
        <w:rPr>
          <w:sz w:val="24"/>
          <w:szCs w:val="24"/>
        </w:rPr>
        <w:t>e</w:t>
      </w:r>
      <w:r>
        <w:rPr>
          <w:sz w:val="24"/>
          <w:szCs w:val="24"/>
        </w:rPr>
        <w:t xml:space="preserve"> Hitler die Allgemeine Wehrpflicht ein. Der Akt w</w:t>
      </w:r>
      <w:r w:rsidR="001036F1">
        <w:rPr>
          <w:sz w:val="24"/>
          <w:szCs w:val="24"/>
        </w:rPr>
        <w:t>u</w:t>
      </w:r>
      <w:r>
        <w:rPr>
          <w:sz w:val="24"/>
          <w:szCs w:val="24"/>
        </w:rPr>
        <w:t>rd</w:t>
      </w:r>
      <w:r w:rsidR="001036F1">
        <w:rPr>
          <w:sz w:val="24"/>
          <w:szCs w:val="24"/>
        </w:rPr>
        <w:t>e</w:t>
      </w:r>
      <w:r>
        <w:rPr>
          <w:sz w:val="24"/>
          <w:szCs w:val="24"/>
        </w:rPr>
        <w:t xml:space="preserve"> mit Protestnoten Frankreichs, Großbritanniens und Italiens beantwortet. Der französische Bo</w:t>
      </w:r>
      <w:r>
        <w:rPr>
          <w:sz w:val="24"/>
          <w:szCs w:val="24"/>
        </w:rPr>
        <w:t>t</w:t>
      </w:r>
      <w:r>
        <w:rPr>
          <w:sz w:val="24"/>
          <w:szCs w:val="24"/>
        </w:rPr>
        <w:t>schafter in Deutschland Fran</w:t>
      </w:r>
      <w:r>
        <w:rPr>
          <w:rFonts w:cs="Times New Roman"/>
          <w:sz w:val="24"/>
          <w:szCs w:val="24"/>
        </w:rPr>
        <w:t>ç</w:t>
      </w:r>
      <w:r>
        <w:rPr>
          <w:sz w:val="24"/>
          <w:szCs w:val="24"/>
        </w:rPr>
        <w:t>ois-Poncet sagt</w:t>
      </w:r>
      <w:r w:rsidR="001036F1">
        <w:rPr>
          <w:sz w:val="24"/>
          <w:szCs w:val="24"/>
        </w:rPr>
        <w:t>e</w:t>
      </w:r>
      <w:r>
        <w:rPr>
          <w:sz w:val="24"/>
          <w:szCs w:val="24"/>
        </w:rPr>
        <w:t xml:space="preserve"> später in seinen Memoiren, das Reich habe hier „einen Ca</w:t>
      </w:r>
      <w:r w:rsidR="0026073E">
        <w:rPr>
          <w:sz w:val="24"/>
          <w:szCs w:val="24"/>
        </w:rPr>
        <w:t>s</w:t>
      </w:r>
      <w:r>
        <w:rPr>
          <w:sz w:val="24"/>
          <w:szCs w:val="24"/>
        </w:rPr>
        <w:t xml:space="preserve">us </w:t>
      </w:r>
      <w:proofErr w:type="spellStart"/>
      <w:r>
        <w:rPr>
          <w:sz w:val="24"/>
          <w:szCs w:val="24"/>
        </w:rPr>
        <w:t>belli</w:t>
      </w:r>
      <w:proofErr w:type="spellEnd"/>
      <w:r>
        <w:rPr>
          <w:sz w:val="24"/>
          <w:szCs w:val="24"/>
        </w:rPr>
        <w:t xml:space="preserve"> geschaffen“, doch </w:t>
      </w:r>
      <w:r w:rsidR="0026073E">
        <w:rPr>
          <w:sz w:val="24"/>
          <w:szCs w:val="24"/>
        </w:rPr>
        <w:t xml:space="preserve">niemand habe das </w:t>
      </w:r>
      <w:r w:rsidR="00C114E3">
        <w:rPr>
          <w:sz w:val="24"/>
          <w:szCs w:val="24"/>
        </w:rPr>
        <w:t>z</w:t>
      </w:r>
      <w:r w:rsidR="0026073E">
        <w:rPr>
          <w:sz w:val="24"/>
          <w:szCs w:val="24"/>
        </w:rPr>
        <w:t xml:space="preserve">ur Kenntnis nehmen wollen. </w:t>
      </w:r>
      <w:r w:rsidR="001036F1">
        <w:rPr>
          <w:sz w:val="24"/>
          <w:szCs w:val="24"/>
        </w:rPr>
        <w:t>Es wu</w:t>
      </w:r>
      <w:r w:rsidR="001036F1">
        <w:rPr>
          <w:sz w:val="24"/>
          <w:szCs w:val="24"/>
        </w:rPr>
        <w:t>r</w:t>
      </w:r>
      <w:r w:rsidR="001036F1">
        <w:rPr>
          <w:sz w:val="24"/>
          <w:szCs w:val="24"/>
        </w:rPr>
        <w:t>de nicht einmal ein</w:t>
      </w:r>
      <w:r>
        <w:rPr>
          <w:sz w:val="24"/>
          <w:szCs w:val="24"/>
        </w:rPr>
        <w:t xml:space="preserve"> Ansatz </w:t>
      </w:r>
      <w:r w:rsidR="0026073E">
        <w:rPr>
          <w:sz w:val="24"/>
          <w:szCs w:val="24"/>
        </w:rPr>
        <w:t xml:space="preserve">zur Fortsetzung der Einkreisungspolitik </w:t>
      </w:r>
      <w:r w:rsidR="001036F1">
        <w:rPr>
          <w:sz w:val="24"/>
          <w:szCs w:val="24"/>
        </w:rPr>
        <w:t>unternommen</w:t>
      </w:r>
      <w:r w:rsidR="0026073E">
        <w:rPr>
          <w:sz w:val="24"/>
          <w:szCs w:val="24"/>
        </w:rPr>
        <w:t>.</w:t>
      </w:r>
      <w:r w:rsidR="0026073E">
        <w:rPr>
          <w:rStyle w:val="Funotenzeichen"/>
          <w:sz w:val="24"/>
          <w:szCs w:val="24"/>
        </w:rPr>
        <w:footnoteReference w:id="20"/>
      </w:r>
      <w:r w:rsidR="0026073E">
        <w:rPr>
          <w:sz w:val="24"/>
          <w:szCs w:val="24"/>
        </w:rPr>
        <w:t xml:space="preserve"> Im Juni 1935 folgt</w:t>
      </w:r>
      <w:r w:rsidR="001036F1">
        <w:rPr>
          <w:sz w:val="24"/>
          <w:szCs w:val="24"/>
        </w:rPr>
        <w:t>e</w:t>
      </w:r>
      <w:r w:rsidR="0026073E">
        <w:rPr>
          <w:sz w:val="24"/>
          <w:szCs w:val="24"/>
        </w:rPr>
        <w:t xml:space="preserve"> das Flottenabkommen mit Großbritannien. Damit hatte Hitler – so Ludolf Herbst – „zum ersten</w:t>
      </w:r>
      <w:r w:rsidR="005B3F35">
        <w:rPr>
          <w:sz w:val="24"/>
          <w:szCs w:val="24"/>
        </w:rPr>
        <w:t xml:space="preserve"> M</w:t>
      </w:r>
      <w:r w:rsidR="0026073E">
        <w:rPr>
          <w:sz w:val="24"/>
          <w:szCs w:val="24"/>
        </w:rPr>
        <w:t xml:space="preserve">al die Zustimmung einer der Siegermächte des Ersten Weltkrieges für eine Aufrüstung erhalten, welche </w:t>
      </w:r>
      <w:r w:rsidR="00D15036">
        <w:rPr>
          <w:sz w:val="24"/>
          <w:szCs w:val="24"/>
        </w:rPr>
        <w:t>die Versailler Bedingungen weit hinter sich ließ.</w:t>
      </w:r>
      <w:r w:rsidR="0026073E">
        <w:rPr>
          <w:sz w:val="24"/>
          <w:szCs w:val="24"/>
        </w:rPr>
        <w:t>“</w:t>
      </w:r>
      <w:r w:rsidR="00D15036">
        <w:rPr>
          <w:rStyle w:val="Funotenzeichen"/>
          <w:sz w:val="24"/>
          <w:szCs w:val="24"/>
        </w:rPr>
        <w:footnoteReference w:id="21"/>
      </w:r>
      <w:r w:rsidR="00D15036">
        <w:rPr>
          <w:sz w:val="24"/>
          <w:szCs w:val="24"/>
        </w:rPr>
        <w:t xml:space="preserve"> Am 7. März 1936 erfolgt</w:t>
      </w:r>
      <w:r w:rsidR="005B3F35">
        <w:rPr>
          <w:sz w:val="24"/>
          <w:szCs w:val="24"/>
        </w:rPr>
        <w:t>e</w:t>
      </w:r>
      <w:r w:rsidR="00D15036">
        <w:rPr>
          <w:sz w:val="24"/>
          <w:szCs w:val="24"/>
        </w:rPr>
        <w:t xml:space="preserve"> die Besetzung des aufgrund des Versailler Vertrages entmilitarisierten Rhei</w:t>
      </w:r>
      <w:r w:rsidR="00D15036">
        <w:rPr>
          <w:sz w:val="24"/>
          <w:szCs w:val="24"/>
        </w:rPr>
        <w:t>n</w:t>
      </w:r>
      <w:r w:rsidR="00D15036">
        <w:rPr>
          <w:sz w:val="24"/>
          <w:szCs w:val="24"/>
        </w:rPr>
        <w:t>lands.</w:t>
      </w:r>
      <w:r w:rsidR="00C5724A">
        <w:rPr>
          <w:sz w:val="24"/>
          <w:szCs w:val="24"/>
        </w:rPr>
        <w:t xml:space="preserve"> – S</w:t>
      </w:r>
      <w:r w:rsidR="00D15036">
        <w:rPr>
          <w:sz w:val="24"/>
          <w:szCs w:val="24"/>
        </w:rPr>
        <w:t xml:space="preserve">pätestens in diesem Moment </w:t>
      </w:r>
      <w:r w:rsidR="005B3F35">
        <w:rPr>
          <w:sz w:val="24"/>
          <w:szCs w:val="24"/>
        </w:rPr>
        <w:t xml:space="preserve">waren </w:t>
      </w:r>
      <w:r w:rsidR="00D15036">
        <w:rPr>
          <w:sz w:val="24"/>
          <w:szCs w:val="24"/>
        </w:rPr>
        <w:t>Frankreichs Sicherheitsinteressen in elementarer Weise betroffen. Doch die französische Regierung schr</w:t>
      </w:r>
      <w:r w:rsidR="00971F01">
        <w:rPr>
          <w:sz w:val="24"/>
          <w:szCs w:val="24"/>
        </w:rPr>
        <w:t>eckt</w:t>
      </w:r>
      <w:r w:rsidR="005B3F35">
        <w:rPr>
          <w:sz w:val="24"/>
          <w:szCs w:val="24"/>
        </w:rPr>
        <w:t>e</w:t>
      </w:r>
      <w:r w:rsidR="00D15036">
        <w:rPr>
          <w:sz w:val="24"/>
          <w:szCs w:val="24"/>
        </w:rPr>
        <w:t xml:space="preserve"> vor der Allgemeinen Mobilm</w:t>
      </w:r>
      <w:r w:rsidR="00D15036">
        <w:rPr>
          <w:sz w:val="24"/>
          <w:szCs w:val="24"/>
        </w:rPr>
        <w:t>a</w:t>
      </w:r>
      <w:r w:rsidR="00D15036">
        <w:rPr>
          <w:sz w:val="24"/>
          <w:szCs w:val="24"/>
        </w:rPr>
        <w:t>chung zurück.</w:t>
      </w:r>
      <w:r w:rsidR="00D15036">
        <w:rPr>
          <w:rStyle w:val="Funotenzeichen"/>
          <w:sz w:val="24"/>
          <w:szCs w:val="24"/>
        </w:rPr>
        <w:footnoteReference w:id="22"/>
      </w:r>
    </w:p>
    <w:p w:rsidR="00E66CAE" w:rsidRDefault="00E66CAE" w:rsidP="001D2105">
      <w:pPr>
        <w:spacing w:after="0"/>
        <w:ind w:firstLine="708"/>
        <w:jc w:val="both"/>
        <w:rPr>
          <w:sz w:val="24"/>
          <w:szCs w:val="24"/>
        </w:rPr>
      </w:pPr>
    </w:p>
    <w:p w:rsidR="00D15036" w:rsidRDefault="00D15036" w:rsidP="001D2105">
      <w:pPr>
        <w:spacing w:after="0"/>
        <w:ind w:firstLine="708"/>
        <w:jc w:val="both"/>
        <w:rPr>
          <w:sz w:val="24"/>
          <w:szCs w:val="24"/>
        </w:rPr>
      </w:pPr>
      <w:r>
        <w:rPr>
          <w:sz w:val="24"/>
          <w:szCs w:val="24"/>
        </w:rPr>
        <w:t>Die Zurückhaltung der europäischen Mächte</w:t>
      </w:r>
      <w:r w:rsidR="00694E21">
        <w:rPr>
          <w:sz w:val="24"/>
          <w:szCs w:val="24"/>
        </w:rPr>
        <w:t xml:space="preserve">, das Ausbleiben jedes Versuches, </w:t>
      </w:r>
      <w:r w:rsidR="005B3F35">
        <w:rPr>
          <w:sz w:val="24"/>
          <w:szCs w:val="24"/>
        </w:rPr>
        <w:t>der Aufrüstungs- und Rassenpolitik Einhalt zu gebieten</w:t>
      </w:r>
      <w:r w:rsidR="00694E21">
        <w:rPr>
          <w:sz w:val="24"/>
          <w:szCs w:val="24"/>
        </w:rPr>
        <w:t xml:space="preserve">, lässt nur einen Schluss zu: Man </w:t>
      </w:r>
      <w:r w:rsidR="00694E21">
        <w:rPr>
          <w:i/>
          <w:sz w:val="24"/>
          <w:szCs w:val="24"/>
        </w:rPr>
        <w:t>wollte</w:t>
      </w:r>
      <w:r w:rsidR="00694E21">
        <w:rPr>
          <w:sz w:val="24"/>
          <w:szCs w:val="24"/>
        </w:rPr>
        <w:t xml:space="preserve"> gegen Hitler nicht aktiv werden. Die Gründe mögen unterschiedlich gewesen sein. Fest steht jedoch: Im Rahmen dieser Politik war das Exil ein völlig unerheblicher Faktor. </w:t>
      </w:r>
      <w:r w:rsidR="00E66CAE">
        <w:rPr>
          <w:sz w:val="24"/>
          <w:szCs w:val="24"/>
        </w:rPr>
        <w:t>Innenpolitisch war es eine</w:t>
      </w:r>
      <w:r w:rsidR="00694E21">
        <w:rPr>
          <w:sz w:val="24"/>
          <w:szCs w:val="24"/>
        </w:rPr>
        <w:t xml:space="preserve"> Belastung.</w:t>
      </w:r>
      <w:r w:rsidR="00BF23FB">
        <w:rPr>
          <w:sz w:val="24"/>
          <w:szCs w:val="24"/>
        </w:rPr>
        <w:t xml:space="preserve"> </w:t>
      </w:r>
      <w:r w:rsidR="00EA7075">
        <w:rPr>
          <w:sz w:val="24"/>
          <w:szCs w:val="24"/>
        </w:rPr>
        <w:t>– L</w:t>
      </w:r>
      <w:r w:rsidR="00BF23FB">
        <w:rPr>
          <w:sz w:val="24"/>
          <w:szCs w:val="24"/>
        </w:rPr>
        <w:t xml:space="preserve">eopold Schwarzschild, der Herausgeber des </w:t>
      </w:r>
      <w:r w:rsidR="00BF23FB">
        <w:rPr>
          <w:i/>
          <w:sz w:val="24"/>
          <w:szCs w:val="24"/>
        </w:rPr>
        <w:t>Neuen Tage-Buchs</w:t>
      </w:r>
      <w:r w:rsidR="00BF23FB">
        <w:rPr>
          <w:sz w:val="24"/>
          <w:szCs w:val="24"/>
        </w:rPr>
        <w:t xml:space="preserve">, </w:t>
      </w:r>
      <w:r w:rsidR="00E66CAE">
        <w:rPr>
          <w:sz w:val="24"/>
          <w:szCs w:val="24"/>
        </w:rPr>
        <w:t>machte bereits</w:t>
      </w:r>
      <w:r w:rsidR="00BF23FB">
        <w:rPr>
          <w:sz w:val="24"/>
          <w:szCs w:val="24"/>
        </w:rPr>
        <w:t xml:space="preserve"> 1934, in </w:t>
      </w:r>
      <w:r w:rsidR="00BF23FB">
        <w:rPr>
          <w:i/>
          <w:sz w:val="24"/>
          <w:szCs w:val="24"/>
        </w:rPr>
        <w:t>Das Ende der Illusionen</w:t>
      </w:r>
      <w:r w:rsidR="00BF23FB">
        <w:rPr>
          <w:sz w:val="24"/>
          <w:szCs w:val="24"/>
        </w:rPr>
        <w:t xml:space="preserve">, auf die Dringlichkeit </w:t>
      </w:r>
      <w:r w:rsidR="00E66CAE">
        <w:rPr>
          <w:sz w:val="24"/>
          <w:szCs w:val="24"/>
        </w:rPr>
        <w:t>aufmerksam</w:t>
      </w:r>
      <w:r w:rsidR="00BF23FB">
        <w:rPr>
          <w:sz w:val="24"/>
          <w:szCs w:val="24"/>
        </w:rPr>
        <w:t>, Hitlers Aufrüstungspolitik Einhalt zu gebieten</w:t>
      </w:r>
      <w:r w:rsidR="00141B20">
        <w:rPr>
          <w:sz w:val="24"/>
          <w:szCs w:val="24"/>
        </w:rPr>
        <w:t>. Er war ein Warner, der nicht Gehör fand</w:t>
      </w:r>
      <w:r w:rsidR="00BF23FB">
        <w:rPr>
          <w:sz w:val="24"/>
          <w:szCs w:val="24"/>
        </w:rPr>
        <w:t>:</w:t>
      </w:r>
    </w:p>
    <w:p w:rsidR="00BF23FB" w:rsidRPr="00BF23FB" w:rsidRDefault="00BF23FB" w:rsidP="001D2105">
      <w:pPr>
        <w:spacing w:after="0"/>
        <w:ind w:left="1134"/>
        <w:jc w:val="both"/>
        <w:rPr>
          <w:sz w:val="24"/>
          <w:szCs w:val="24"/>
        </w:rPr>
      </w:pPr>
      <w:r>
        <w:rPr>
          <w:sz w:val="24"/>
          <w:szCs w:val="24"/>
        </w:rPr>
        <w:t>„Eini</w:t>
      </w:r>
      <w:r w:rsidR="00B356B0">
        <w:rPr>
          <w:sz w:val="24"/>
          <w:szCs w:val="24"/>
        </w:rPr>
        <w:t>g</w:t>
      </w:r>
      <w:r>
        <w:rPr>
          <w:sz w:val="24"/>
          <w:szCs w:val="24"/>
        </w:rPr>
        <w:t>e Monate bleiben n</w:t>
      </w:r>
      <w:r w:rsidR="00C114E3">
        <w:rPr>
          <w:sz w:val="24"/>
          <w:szCs w:val="24"/>
        </w:rPr>
        <w:t>o</w:t>
      </w:r>
      <w:r>
        <w:rPr>
          <w:sz w:val="24"/>
          <w:szCs w:val="24"/>
        </w:rPr>
        <w:t>ch als letzte Frist, die Fehler von vierzehn Jahren wi</w:t>
      </w:r>
      <w:r>
        <w:rPr>
          <w:sz w:val="24"/>
          <w:szCs w:val="24"/>
        </w:rPr>
        <w:t>e</w:t>
      </w:r>
      <w:r>
        <w:rPr>
          <w:sz w:val="24"/>
          <w:szCs w:val="24"/>
        </w:rPr>
        <w:t>der gutzumachen. In diesen paar Monaten um jeden Preis den Fortgang der deu</w:t>
      </w:r>
      <w:r>
        <w:rPr>
          <w:sz w:val="24"/>
          <w:szCs w:val="24"/>
        </w:rPr>
        <w:t>t</w:t>
      </w:r>
      <w:r>
        <w:rPr>
          <w:sz w:val="24"/>
          <w:szCs w:val="24"/>
        </w:rPr>
        <w:t>schen Bewaffnung zu drosseln, ist die Weltaufgabe, die überwältigende. In ihr kristallisiert sich die Rettung der Völker, darunter des deutschen Volkes selbst</w:t>
      </w:r>
      <w:r w:rsidR="00D80826">
        <w:rPr>
          <w:sz w:val="24"/>
          <w:szCs w:val="24"/>
        </w:rPr>
        <w:t xml:space="preserve"> </w:t>
      </w:r>
      <w:r>
        <w:rPr>
          <w:sz w:val="24"/>
          <w:szCs w:val="24"/>
        </w:rPr>
        <w:t xml:space="preserve">… Es ist der letzte Augenblick, sich von der Wahrheit Rechenschaft zu geben, </w:t>
      </w:r>
      <w:proofErr w:type="spellStart"/>
      <w:r>
        <w:rPr>
          <w:sz w:val="24"/>
          <w:szCs w:val="24"/>
        </w:rPr>
        <w:t>daß</w:t>
      </w:r>
      <w:proofErr w:type="spellEnd"/>
      <w:r>
        <w:rPr>
          <w:sz w:val="24"/>
          <w:szCs w:val="24"/>
        </w:rPr>
        <w:t xml:space="preserve"> in diesem Fall die schneidende Kriegsdrohung, die brutale Präsentation der Gewalt das einzige Friedensmittel ist, und das garantierte… Die Methode ist einfach. Sie beruht auf der Tatsache, </w:t>
      </w:r>
      <w:proofErr w:type="spellStart"/>
      <w:r>
        <w:rPr>
          <w:sz w:val="24"/>
          <w:szCs w:val="24"/>
        </w:rPr>
        <w:t>daß</w:t>
      </w:r>
      <w:proofErr w:type="spellEnd"/>
      <w:r>
        <w:rPr>
          <w:sz w:val="24"/>
          <w:szCs w:val="24"/>
        </w:rPr>
        <w:t xml:space="preserve"> Deutschland noch einige Monate lang nicht imstande </w:t>
      </w:r>
      <w:r>
        <w:rPr>
          <w:sz w:val="24"/>
          <w:szCs w:val="24"/>
        </w:rPr>
        <w:lastRenderedPageBreak/>
        <w:t>ist, der geballten Militärgewalt auch nur Frankreichs, geschweige einer Staate</w:t>
      </w:r>
      <w:r>
        <w:rPr>
          <w:sz w:val="24"/>
          <w:szCs w:val="24"/>
        </w:rPr>
        <w:t>n</w:t>
      </w:r>
      <w:r>
        <w:rPr>
          <w:sz w:val="24"/>
          <w:szCs w:val="24"/>
        </w:rPr>
        <w:t>vielheit, die Stirn zu bieten. […] Mit Gewalt</w:t>
      </w:r>
      <w:r w:rsidR="00B356B0">
        <w:rPr>
          <w:sz w:val="24"/>
          <w:szCs w:val="24"/>
        </w:rPr>
        <w:t xml:space="preserve"> und doch ohne Krieg </w:t>
      </w:r>
      <w:proofErr w:type="spellStart"/>
      <w:r w:rsidR="00B356B0">
        <w:rPr>
          <w:sz w:val="24"/>
          <w:szCs w:val="24"/>
        </w:rPr>
        <w:t>läßt</w:t>
      </w:r>
      <w:proofErr w:type="spellEnd"/>
      <w:r w:rsidR="00B356B0">
        <w:rPr>
          <w:sz w:val="24"/>
          <w:szCs w:val="24"/>
        </w:rPr>
        <w:t xml:space="preserve"> sich noch heute der Eilmarsch Europas zum Vernichtungskrieg bremsen. Aber nur mit G</w:t>
      </w:r>
      <w:r w:rsidR="00B356B0">
        <w:rPr>
          <w:sz w:val="24"/>
          <w:szCs w:val="24"/>
        </w:rPr>
        <w:t>e</w:t>
      </w:r>
      <w:r w:rsidR="00B356B0">
        <w:rPr>
          <w:sz w:val="24"/>
          <w:szCs w:val="24"/>
        </w:rPr>
        <w:t>walt. Und nur noch einige Monate. Nach Ablauf dieser Monate braucht noch nicht der Krieg zu kommen; das kann sich noch viel länger, noch jahrelang hinziehen. Nach Ablauf dieser Monate ist nichts mehr zu bremsen.“</w:t>
      </w:r>
      <w:r w:rsidR="00B356B0">
        <w:rPr>
          <w:rStyle w:val="Funotenzeichen"/>
          <w:sz w:val="24"/>
          <w:szCs w:val="24"/>
        </w:rPr>
        <w:footnoteReference w:id="23"/>
      </w:r>
    </w:p>
    <w:p w:rsidR="00D80826" w:rsidRDefault="00EA7075" w:rsidP="001D2105">
      <w:pPr>
        <w:spacing w:after="0"/>
        <w:jc w:val="both"/>
        <w:rPr>
          <w:sz w:val="24"/>
          <w:szCs w:val="24"/>
        </w:rPr>
      </w:pPr>
      <w:r>
        <w:rPr>
          <w:sz w:val="24"/>
          <w:szCs w:val="24"/>
        </w:rPr>
        <w:t xml:space="preserve">Schwarzschilds </w:t>
      </w:r>
      <w:r w:rsidR="00437A9C">
        <w:rPr>
          <w:sz w:val="24"/>
          <w:szCs w:val="24"/>
        </w:rPr>
        <w:t>Mahnung</w:t>
      </w:r>
      <w:r>
        <w:rPr>
          <w:sz w:val="24"/>
          <w:szCs w:val="24"/>
        </w:rPr>
        <w:t xml:space="preserve"> besaß eine klare, empirisch basierte Bezugsebene: Informationen über die deutschen Rüstungsanstrengungen und die entsprechenden Fortschritte</w:t>
      </w:r>
      <w:r w:rsidR="003F6E3B">
        <w:rPr>
          <w:sz w:val="24"/>
          <w:szCs w:val="24"/>
        </w:rPr>
        <w:t xml:space="preserve"> im Bereich von Ausrüstung</w:t>
      </w:r>
      <w:r w:rsidR="00437A9C">
        <w:rPr>
          <w:sz w:val="24"/>
          <w:szCs w:val="24"/>
        </w:rPr>
        <w:t xml:space="preserve"> und Schulung</w:t>
      </w:r>
      <w:r>
        <w:rPr>
          <w:sz w:val="24"/>
          <w:szCs w:val="24"/>
        </w:rPr>
        <w:t>. Diese Informationen waren selbstverständlich auch den eur</w:t>
      </w:r>
      <w:r>
        <w:rPr>
          <w:sz w:val="24"/>
          <w:szCs w:val="24"/>
        </w:rPr>
        <w:t>o</w:t>
      </w:r>
      <w:r>
        <w:rPr>
          <w:sz w:val="24"/>
          <w:szCs w:val="24"/>
        </w:rPr>
        <w:t>päischen Regierungen zugänglich. W</w:t>
      </w:r>
      <w:r w:rsidR="00141B20">
        <w:rPr>
          <w:sz w:val="24"/>
          <w:szCs w:val="24"/>
        </w:rPr>
        <w:t xml:space="preserve">eshalb </w:t>
      </w:r>
      <w:r>
        <w:rPr>
          <w:sz w:val="24"/>
          <w:szCs w:val="24"/>
        </w:rPr>
        <w:t>die</w:t>
      </w:r>
      <w:r w:rsidR="005B3F35">
        <w:rPr>
          <w:sz w:val="24"/>
          <w:szCs w:val="24"/>
        </w:rPr>
        <w:t xml:space="preserve"> </w:t>
      </w:r>
      <w:r w:rsidR="00437A9C">
        <w:rPr>
          <w:sz w:val="24"/>
          <w:szCs w:val="24"/>
        </w:rPr>
        <w:t xml:space="preserve">aus heutiger Sicht </w:t>
      </w:r>
      <w:r>
        <w:rPr>
          <w:sz w:val="24"/>
          <w:szCs w:val="24"/>
        </w:rPr>
        <w:t>fast prophetisch anmute</w:t>
      </w:r>
      <w:r>
        <w:rPr>
          <w:sz w:val="24"/>
          <w:szCs w:val="24"/>
        </w:rPr>
        <w:t>n</w:t>
      </w:r>
      <w:r>
        <w:rPr>
          <w:sz w:val="24"/>
          <w:szCs w:val="24"/>
        </w:rPr>
        <w:t xml:space="preserve">den </w:t>
      </w:r>
      <w:r w:rsidR="005B3F35">
        <w:rPr>
          <w:sz w:val="24"/>
          <w:szCs w:val="24"/>
        </w:rPr>
        <w:t xml:space="preserve">Warnungen </w:t>
      </w:r>
      <w:r>
        <w:rPr>
          <w:sz w:val="24"/>
          <w:szCs w:val="24"/>
        </w:rPr>
        <w:t xml:space="preserve">trotzdem </w:t>
      </w:r>
      <w:r w:rsidR="00437A9C">
        <w:rPr>
          <w:sz w:val="24"/>
          <w:szCs w:val="24"/>
        </w:rPr>
        <w:t>nicht beachtet wurd</w:t>
      </w:r>
      <w:r w:rsidR="00141B20">
        <w:rPr>
          <w:sz w:val="24"/>
          <w:szCs w:val="24"/>
        </w:rPr>
        <w:t>en, lieg</w:t>
      </w:r>
      <w:r>
        <w:rPr>
          <w:sz w:val="24"/>
          <w:szCs w:val="24"/>
        </w:rPr>
        <w:t>t</w:t>
      </w:r>
      <w:r w:rsidR="00141B20">
        <w:rPr>
          <w:sz w:val="24"/>
          <w:szCs w:val="24"/>
        </w:rPr>
        <w:t xml:space="preserve"> auf der Hand</w:t>
      </w:r>
      <w:r w:rsidR="00B356B0">
        <w:rPr>
          <w:sz w:val="24"/>
          <w:szCs w:val="24"/>
        </w:rPr>
        <w:t xml:space="preserve">. </w:t>
      </w:r>
      <w:r w:rsidR="00A30756">
        <w:rPr>
          <w:sz w:val="24"/>
          <w:szCs w:val="24"/>
        </w:rPr>
        <w:t xml:space="preserve">Der Erste Weltkrieg hatte </w:t>
      </w:r>
      <w:r w:rsidR="00141B20">
        <w:rPr>
          <w:sz w:val="24"/>
          <w:szCs w:val="24"/>
        </w:rPr>
        <w:t xml:space="preserve">in allen Nationen </w:t>
      </w:r>
      <w:r w:rsidR="00A30756">
        <w:rPr>
          <w:sz w:val="24"/>
          <w:szCs w:val="24"/>
        </w:rPr>
        <w:t>tiefe Wunden gerissen</w:t>
      </w:r>
      <w:r w:rsidR="00141B20">
        <w:rPr>
          <w:sz w:val="24"/>
          <w:szCs w:val="24"/>
        </w:rPr>
        <w:t>. Man war pazifistisch, kriegsmüde</w:t>
      </w:r>
      <w:r w:rsidR="00437A9C">
        <w:rPr>
          <w:sz w:val="24"/>
          <w:szCs w:val="24"/>
        </w:rPr>
        <w:t>.</w:t>
      </w:r>
      <w:r w:rsidR="00A30756">
        <w:rPr>
          <w:sz w:val="24"/>
          <w:szCs w:val="24"/>
        </w:rPr>
        <w:t xml:space="preserve"> </w:t>
      </w:r>
      <w:r w:rsidR="00437A9C">
        <w:rPr>
          <w:sz w:val="24"/>
          <w:szCs w:val="24"/>
        </w:rPr>
        <w:t>I</w:t>
      </w:r>
      <w:r w:rsidR="00E443AD">
        <w:rPr>
          <w:sz w:val="24"/>
          <w:szCs w:val="24"/>
        </w:rPr>
        <w:t xml:space="preserve">nsbesondere in Frankreich </w:t>
      </w:r>
      <w:r w:rsidR="00D80826">
        <w:rPr>
          <w:sz w:val="24"/>
          <w:szCs w:val="24"/>
        </w:rPr>
        <w:t xml:space="preserve">war </w:t>
      </w:r>
      <w:r w:rsidR="00437A9C">
        <w:rPr>
          <w:sz w:val="24"/>
          <w:szCs w:val="24"/>
        </w:rPr>
        <w:t>der Beschluss einer militärischen Intervention</w:t>
      </w:r>
      <w:r w:rsidR="00A30756">
        <w:rPr>
          <w:sz w:val="24"/>
          <w:szCs w:val="24"/>
        </w:rPr>
        <w:t xml:space="preserve"> </w:t>
      </w:r>
      <w:r w:rsidR="00D80826">
        <w:rPr>
          <w:sz w:val="24"/>
          <w:szCs w:val="24"/>
        </w:rPr>
        <w:t xml:space="preserve">innenpolitisch </w:t>
      </w:r>
      <w:r w:rsidR="00A30756">
        <w:rPr>
          <w:sz w:val="24"/>
          <w:szCs w:val="24"/>
        </w:rPr>
        <w:t xml:space="preserve">nicht </w:t>
      </w:r>
      <w:r w:rsidR="00437A9C">
        <w:rPr>
          <w:sz w:val="24"/>
          <w:szCs w:val="24"/>
        </w:rPr>
        <w:t>ohne we</w:t>
      </w:r>
      <w:r w:rsidR="00437A9C">
        <w:rPr>
          <w:sz w:val="24"/>
          <w:szCs w:val="24"/>
        </w:rPr>
        <w:t>i</w:t>
      </w:r>
      <w:r w:rsidR="00437A9C">
        <w:rPr>
          <w:sz w:val="24"/>
          <w:szCs w:val="24"/>
        </w:rPr>
        <w:t xml:space="preserve">teres </w:t>
      </w:r>
      <w:r w:rsidR="00A30756">
        <w:rPr>
          <w:sz w:val="24"/>
          <w:szCs w:val="24"/>
        </w:rPr>
        <w:t>durch</w:t>
      </w:r>
      <w:r w:rsidR="00437A9C">
        <w:rPr>
          <w:sz w:val="24"/>
          <w:szCs w:val="24"/>
        </w:rPr>
        <w:t>setzbar</w:t>
      </w:r>
      <w:r w:rsidR="00A30756">
        <w:rPr>
          <w:sz w:val="24"/>
          <w:szCs w:val="24"/>
        </w:rPr>
        <w:t xml:space="preserve">. </w:t>
      </w:r>
      <w:r>
        <w:rPr>
          <w:sz w:val="24"/>
          <w:szCs w:val="24"/>
        </w:rPr>
        <w:t xml:space="preserve">Anders als den Vertretern der </w:t>
      </w:r>
      <w:proofErr w:type="spellStart"/>
      <w:r>
        <w:rPr>
          <w:sz w:val="24"/>
          <w:szCs w:val="24"/>
        </w:rPr>
        <w:t>Appeasementpolitik</w:t>
      </w:r>
      <w:proofErr w:type="spellEnd"/>
      <w:r>
        <w:rPr>
          <w:sz w:val="24"/>
          <w:szCs w:val="24"/>
        </w:rPr>
        <w:t xml:space="preserve"> standen </w:t>
      </w:r>
      <w:r w:rsidR="00B356B0">
        <w:rPr>
          <w:sz w:val="24"/>
          <w:szCs w:val="24"/>
        </w:rPr>
        <w:t xml:space="preserve">Schwarzschild </w:t>
      </w:r>
      <w:r>
        <w:rPr>
          <w:sz w:val="24"/>
          <w:szCs w:val="24"/>
        </w:rPr>
        <w:t>jedoch</w:t>
      </w:r>
      <w:r w:rsidR="00B356B0">
        <w:rPr>
          <w:sz w:val="24"/>
          <w:szCs w:val="24"/>
        </w:rPr>
        <w:t xml:space="preserve"> die unausweichlichen Folgen</w:t>
      </w:r>
      <w:r w:rsidR="005B3F35">
        <w:rPr>
          <w:sz w:val="24"/>
          <w:szCs w:val="24"/>
        </w:rPr>
        <w:t xml:space="preserve"> </w:t>
      </w:r>
      <w:r w:rsidR="00437A9C">
        <w:rPr>
          <w:sz w:val="24"/>
          <w:szCs w:val="24"/>
        </w:rPr>
        <w:t xml:space="preserve">im Falle eines Ausbleibens der Intervention </w:t>
      </w:r>
      <w:r w:rsidR="00B356B0">
        <w:rPr>
          <w:sz w:val="24"/>
          <w:szCs w:val="24"/>
        </w:rPr>
        <w:t>vor Augen</w:t>
      </w:r>
      <w:r w:rsidR="005B3F35">
        <w:rPr>
          <w:sz w:val="24"/>
          <w:szCs w:val="24"/>
        </w:rPr>
        <w:t xml:space="preserve">: Es würde </w:t>
      </w:r>
      <w:r w:rsidR="005B3F35" w:rsidRPr="00EA7075">
        <w:rPr>
          <w:i/>
          <w:sz w:val="24"/>
          <w:szCs w:val="24"/>
        </w:rPr>
        <w:t>trotzdem</w:t>
      </w:r>
      <w:r w:rsidR="005B3F35">
        <w:rPr>
          <w:sz w:val="24"/>
          <w:szCs w:val="24"/>
        </w:rPr>
        <w:t xml:space="preserve"> zum Krieg kommen</w:t>
      </w:r>
      <w:r w:rsidR="00437A9C">
        <w:rPr>
          <w:sz w:val="24"/>
          <w:szCs w:val="24"/>
        </w:rPr>
        <w:t>;</w:t>
      </w:r>
      <w:r w:rsidR="005B3F35">
        <w:rPr>
          <w:sz w:val="24"/>
          <w:szCs w:val="24"/>
        </w:rPr>
        <w:t xml:space="preserve"> Deutschland wäre in diesem Fall </w:t>
      </w:r>
      <w:r w:rsidR="00437A9C">
        <w:rPr>
          <w:sz w:val="24"/>
          <w:szCs w:val="24"/>
        </w:rPr>
        <w:t xml:space="preserve">der </w:t>
      </w:r>
      <w:r w:rsidR="005B3F35">
        <w:rPr>
          <w:sz w:val="24"/>
          <w:szCs w:val="24"/>
        </w:rPr>
        <w:t>militärisch übe</w:t>
      </w:r>
      <w:r w:rsidR="005B3F35">
        <w:rPr>
          <w:sz w:val="24"/>
          <w:szCs w:val="24"/>
        </w:rPr>
        <w:t>r</w:t>
      </w:r>
      <w:r w:rsidR="005B3F35">
        <w:rPr>
          <w:sz w:val="24"/>
          <w:szCs w:val="24"/>
        </w:rPr>
        <w:t>legen</w:t>
      </w:r>
      <w:r w:rsidR="00437A9C">
        <w:rPr>
          <w:sz w:val="24"/>
          <w:szCs w:val="24"/>
        </w:rPr>
        <w:t>e Gegner</w:t>
      </w:r>
      <w:r w:rsidR="005B3F35">
        <w:rPr>
          <w:sz w:val="24"/>
          <w:szCs w:val="24"/>
        </w:rPr>
        <w:t>.</w:t>
      </w:r>
      <w:r w:rsidR="00B356B0">
        <w:rPr>
          <w:sz w:val="24"/>
          <w:szCs w:val="24"/>
        </w:rPr>
        <w:t xml:space="preserve"> </w:t>
      </w:r>
    </w:p>
    <w:p w:rsidR="00F637CF" w:rsidRDefault="006E4F57" w:rsidP="001D2105">
      <w:pPr>
        <w:spacing w:after="0"/>
        <w:ind w:firstLine="708"/>
        <w:jc w:val="both"/>
        <w:rPr>
          <w:sz w:val="24"/>
          <w:szCs w:val="24"/>
        </w:rPr>
      </w:pPr>
      <w:r>
        <w:rPr>
          <w:sz w:val="24"/>
          <w:szCs w:val="24"/>
        </w:rPr>
        <w:t xml:space="preserve">Die Mehrheit der exilierten Schriftsteller und Publizisten </w:t>
      </w:r>
      <w:r w:rsidR="00A31A6A">
        <w:rPr>
          <w:sz w:val="24"/>
          <w:szCs w:val="24"/>
        </w:rPr>
        <w:t>sah das</w:t>
      </w:r>
      <w:r w:rsidR="00141B20">
        <w:rPr>
          <w:sz w:val="24"/>
          <w:szCs w:val="24"/>
        </w:rPr>
        <w:t xml:space="preserve"> anders</w:t>
      </w:r>
      <w:r w:rsidR="00437A9C">
        <w:rPr>
          <w:sz w:val="24"/>
          <w:szCs w:val="24"/>
        </w:rPr>
        <w:t>.</w:t>
      </w:r>
      <w:r w:rsidR="00EA7075">
        <w:rPr>
          <w:sz w:val="24"/>
          <w:szCs w:val="24"/>
        </w:rPr>
        <w:t xml:space="preserve"> </w:t>
      </w:r>
      <w:r w:rsidR="005B3F35">
        <w:rPr>
          <w:sz w:val="24"/>
          <w:szCs w:val="24"/>
        </w:rPr>
        <w:t>S</w:t>
      </w:r>
      <w:r>
        <w:rPr>
          <w:sz w:val="24"/>
          <w:szCs w:val="24"/>
        </w:rPr>
        <w:t xml:space="preserve">ie waren zum überwiegenden Teil </w:t>
      </w:r>
      <w:r w:rsidR="00EA7075">
        <w:rPr>
          <w:sz w:val="24"/>
          <w:szCs w:val="24"/>
        </w:rPr>
        <w:t xml:space="preserve">ebenfalls </w:t>
      </w:r>
      <w:r>
        <w:rPr>
          <w:sz w:val="24"/>
          <w:szCs w:val="24"/>
        </w:rPr>
        <w:t>Pazifisten</w:t>
      </w:r>
      <w:r w:rsidR="00EA7075">
        <w:rPr>
          <w:sz w:val="24"/>
          <w:szCs w:val="24"/>
        </w:rPr>
        <w:t xml:space="preserve">. </w:t>
      </w:r>
      <w:r w:rsidR="00A31A6A">
        <w:rPr>
          <w:sz w:val="24"/>
          <w:szCs w:val="24"/>
        </w:rPr>
        <w:t>Z</w:t>
      </w:r>
      <w:r>
        <w:rPr>
          <w:sz w:val="24"/>
          <w:szCs w:val="24"/>
        </w:rPr>
        <w:t>ur militärische</w:t>
      </w:r>
      <w:r w:rsidR="00AE3785">
        <w:rPr>
          <w:sz w:val="24"/>
          <w:szCs w:val="24"/>
        </w:rPr>
        <w:t>n</w:t>
      </w:r>
      <w:r>
        <w:rPr>
          <w:sz w:val="24"/>
          <w:szCs w:val="24"/>
        </w:rPr>
        <w:t xml:space="preserve"> Intervention </w:t>
      </w:r>
      <w:r w:rsidR="00A31A6A">
        <w:rPr>
          <w:sz w:val="24"/>
          <w:szCs w:val="24"/>
        </w:rPr>
        <w:t xml:space="preserve">aufzurufen </w:t>
      </w:r>
      <w:r w:rsidR="00AE3785">
        <w:rPr>
          <w:sz w:val="24"/>
          <w:szCs w:val="24"/>
        </w:rPr>
        <w:t>lag ihnen fern.</w:t>
      </w:r>
    </w:p>
    <w:p w:rsidR="006E4F57" w:rsidRDefault="006E4F57" w:rsidP="001D2105">
      <w:pPr>
        <w:spacing w:after="0"/>
        <w:jc w:val="both"/>
        <w:rPr>
          <w:sz w:val="24"/>
          <w:szCs w:val="24"/>
        </w:rPr>
      </w:pPr>
    </w:p>
    <w:p w:rsidR="00437A9C" w:rsidRDefault="00F66F57" w:rsidP="001D2105">
      <w:pPr>
        <w:spacing w:after="0"/>
        <w:jc w:val="both"/>
        <w:rPr>
          <w:sz w:val="24"/>
          <w:szCs w:val="24"/>
        </w:rPr>
      </w:pPr>
      <w:r>
        <w:rPr>
          <w:sz w:val="24"/>
          <w:szCs w:val="24"/>
        </w:rPr>
        <w:tab/>
        <w:t xml:space="preserve">Man muss unter diesen Umständen Joseph Roth recht geben: Das Schriftstellerexil </w:t>
      </w:r>
      <w:r w:rsidR="00F81B78">
        <w:rPr>
          <w:sz w:val="24"/>
          <w:szCs w:val="24"/>
        </w:rPr>
        <w:t>verharr</w:t>
      </w:r>
      <w:r>
        <w:rPr>
          <w:sz w:val="24"/>
          <w:szCs w:val="24"/>
        </w:rPr>
        <w:t xml:space="preserve">te </w:t>
      </w:r>
      <w:r w:rsidR="00AE3785">
        <w:rPr>
          <w:sz w:val="24"/>
          <w:szCs w:val="24"/>
        </w:rPr>
        <w:t xml:space="preserve">tatsächlich </w:t>
      </w:r>
      <w:r>
        <w:rPr>
          <w:sz w:val="24"/>
          <w:szCs w:val="24"/>
        </w:rPr>
        <w:t>„in edler Blindheit“</w:t>
      </w:r>
      <w:r w:rsidR="00F81B78">
        <w:rPr>
          <w:sz w:val="24"/>
          <w:szCs w:val="24"/>
        </w:rPr>
        <w:t>; es agierte au</w:t>
      </w:r>
      <w:r w:rsidR="00437A9C">
        <w:rPr>
          <w:sz w:val="24"/>
          <w:szCs w:val="24"/>
        </w:rPr>
        <w:t>s</w:t>
      </w:r>
      <w:r w:rsidR="00D80826">
        <w:rPr>
          <w:sz w:val="24"/>
          <w:szCs w:val="24"/>
        </w:rPr>
        <w:t xml:space="preserve"> der Überzeugung</w:t>
      </w:r>
      <w:r w:rsidR="00437A9C">
        <w:rPr>
          <w:sz w:val="24"/>
          <w:szCs w:val="24"/>
        </w:rPr>
        <w:t xml:space="preserve"> heraus</w:t>
      </w:r>
      <w:r w:rsidR="00F81B78">
        <w:rPr>
          <w:sz w:val="24"/>
          <w:szCs w:val="24"/>
        </w:rPr>
        <w:t>, die En</w:t>
      </w:r>
      <w:r w:rsidR="00F81B78">
        <w:rPr>
          <w:sz w:val="24"/>
          <w:szCs w:val="24"/>
        </w:rPr>
        <w:t>t</w:t>
      </w:r>
      <w:r w:rsidR="00F81B78">
        <w:rPr>
          <w:sz w:val="24"/>
          <w:szCs w:val="24"/>
        </w:rPr>
        <w:t xml:space="preserve">wicklung </w:t>
      </w:r>
      <w:r w:rsidR="00AE3785">
        <w:rPr>
          <w:sz w:val="24"/>
          <w:szCs w:val="24"/>
        </w:rPr>
        <w:t xml:space="preserve">durch Aufrufe, Manifeste und Dokumentationen </w:t>
      </w:r>
      <w:r w:rsidR="00F81B78">
        <w:rPr>
          <w:sz w:val="24"/>
          <w:szCs w:val="24"/>
        </w:rPr>
        <w:t>beeinflussen zu können.</w:t>
      </w:r>
      <w:r w:rsidR="004924AA">
        <w:rPr>
          <w:sz w:val="24"/>
          <w:szCs w:val="24"/>
        </w:rPr>
        <w:t xml:space="preserve"> </w:t>
      </w:r>
      <w:r w:rsidR="00141B20">
        <w:rPr>
          <w:sz w:val="24"/>
          <w:szCs w:val="24"/>
        </w:rPr>
        <w:t xml:space="preserve">Eine der spektakulären Publikationen der </w:t>
      </w:r>
      <w:proofErr w:type="spellStart"/>
      <w:r w:rsidR="00141B20">
        <w:rPr>
          <w:sz w:val="24"/>
          <w:szCs w:val="24"/>
        </w:rPr>
        <w:t>Éditions</w:t>
      </w:r>
      <w:proofErr w:type="spellEnd"/>
      <w:r w:rsidR="00141B20">
        <w:rPr>
          <w:sz w:val="24"/>
          <w:szCs w:val="24"/>
        </w:rPr>
        <w:t xml:space="preserve"> du Carrefour trug zwar den Titel</w:t>
      </w:r>
      <w:r w:rsidR="00F81B78">
        <w:rPr>
          <w:sz w:val="24"/>
          <w:szCs w:val="24"/>
        </w:rPr>
        <w:t xml:space="preserve"> </w:t>
      </w:r>
      <w:r w:rsidR="00F81B78" w:rsidRPr="00F81B78">
        <w:rPr>
          <w:i/>
          <w:sz w:val="24"/>
          <w:szCs w:val="24"/>
        </w:rPr>
        <w:t>Hitler treibt zum Krieg</w:t>
      </w:r>
      <w:r w:rsidR="00142805">
        <w:rPr>
          <w:sz w:val="24"/>
          <w:szCs w:val="24"/>
        </w:rPr>
        <w:t>,</w:t>
      </w:r>
      <w:r w:rsidR="00141B20" w:rsidRPr="00141B20">
        <w:rPr>
          <w:rStyle w:val="Funotenzeichen"/>
          <w:sz w:val="24"/>
          <w:szCs w:val="24"/>
        </w:rPr>
        <w:t xml:space="preserve"> </w:t>
      </w:r>
      <w:r w:rsidR="00141B20">
        <w:rPr>
          <w:rStyle w:val="Funotenzeichen"/>
          <w:sz w:val="24"/>
          <w:szCs w:val="24"/>
        </w:rPr>
        <w:footnoteReference w:id="24"/>
      </w:r>
      <w:r w:rsidR="00141B20">
        <w:rPr>
          <w:sz w:val="24"/>
          <w:szCs w:val="24"/>
        </w:rPr>
        <w:t xml:space="preserve"> aber die notwendige </w:t>
      </w:r>
      <w:r w:rsidR="00A31A6A">
        <w:rPr>
          <w:sz w:val="24"/>
          <w:szCs w:val="24"/>
        </w:rPr>
        <w:t>Folgerung</w:t>
      </w:r>
      <w:r w:rsidR="00141B20">
        <w:rPr>
          <w:sz w:val="24"/>
          <w:szCs w:val="24"/>
        </w:rPr>
        <w:t>, die aus dieser Parole erwuch</w:t>
      </w:r>
      <w:r w:rsidR="00A31A6A">
        <w:rPr>
          <w:sz w:val="24"/>
          <w:szCs w:val="24"/>
        </w:rPr>
        <w:t>s</w:t>
      </w:r>
      <w:r w:rsidR="00141B20">
        <w:rPr>
          <w:sz w:val="24"/>
          <w:szCs w:val="24"/>
        </w:rPr>
        <w:t xml:space="preserve">, führte man sich </w:t>
      </w:r>
      <w:r w:rsidR="00E21916">
        <w:rPr>
          <w:sz w:val="24"/>
          <w:szCs w:val="24"/>
        </w:rPr>
        <w:t>nicht</w:t>
      </w:r>
      <w:r w:rsidR="00CB59F9">
        <w:rPr>
          <w:sz w:val="24"/>
          <w:szCs w:val="24"/>
        </w:rPr>
        <w:t xml:space="preserve"> </w:t>
      </w:r>
      <w:r w:rsidR="00141B20">
        <w:rPr>
          <w:sz w:val="24"/>
          <w:szCs w:val="24"/>
        </w:rPr>
        <w:t xml:space="preserve">– oder nicht mit </w:t>
      </w:r>
      <w:r w:rsidR="00437A9C">
        <w:rPr>
          <w:sz w:val="24"/>
          <w:szCs w:val="24"/>
        </w:rPr>
        <w:t>hin</w:t>
      </w:r>
      <w:r w:rsidR="00141B20">
        <w:rPr>
          <w:sz w:val="24"/>
          <w:szCs w:val="24"/>
        </w:rPr>
        <w:t>reichender Konsequenz</w:t>
      </w:r>
      <w:r w:rsidR="00CB59F9">
        <w:rPr>
          <w:sz w:val="24"/>
          <w:szCs w:val="24"/>
        </w:rPr>
        <w:t xml:space="preserve"> – vor Augen</w:t>
      </w:r>
      <w:r w:rsidR="00141B20">
        <w:rPr>
          <w:sz w:val="24"/>
          <w:szCs w:val="24"/>
        </w:rPr>
        <w:t>.</w:t>
      </w:r>
      <w:r w:rsidR="00D80826">
        <w:rPr>
          <w:sz w:val="24"/>
          <w:szCs w:val="24"/>
        </w:rPr>
        <w:t xml:space="preserve"> </w:t>
      </w:r>
    </w:p>
    <w:p w:rsidR="00F3463D" w:rsidRDefault="00437A9C" w:rsidP="001D2105">
      <w:pPr>
        <w:spacing w:after="0"/>
        <w:ind w:firstLine="708"/>
        <w:jc w:val="both"/>
        <w:rPr>
          <w:sz w:val="24"/>
          <w:szCs w:val="24"/>
        </w:rPr>
      </w:pPr>
      <w:r>
        <w:rPr>
          <w:sz w:val="24"/>
          <w:szCs w:val="24"/>
        </w:rPr>
        <w:t>Zum</w:t>
      </w:r>
      <w:r w:rsidR="004924AA">
        <w:rPr>
          <w:sz w:val="24"/>
          <w:szCs w:val="24"/>
        </w:rPr>
        <w:t xml:space="preserve"> einigende</w:t>
      </w:r>
      <w:r>
        <w:rPr>
          <w:sz w:val="24"/>
          <w:szCs w:val="24"/>
        </w:rPr>
        <w:t>n</w:t>
      </w:r>
      <w:r w:rsidR="004924AA">
        <w:rPr>
          <w:sz w:val="24"/>
          <w:szCs w:val="24"/>
        </w:rPr>
        <w:t xml:space="preserve"> Band zwischen Pers</w:t>
      </w:r>
      <w:r w:rsidR="00D80826">
        <w:rPr>
          <w:sz w:val="24"/>
          <w:szCs w:val="24"/>
        </w:rPr>
        <w:t>önlichkeiten</w:t>
      </w:r>
      <w:r w:rsidR="004924AA">
        <w:rPr>
          <w:sz w:val="24"/>
          <w:szCs w:val="24"/>
        </w:rPr>
        <w:t xml:space="preserve"> unterschiedlicher politischer Übe</w:t>
      </w:r>
      <w:r w:rsidR="004924AA">
        <w:rPr>
          <w:sz w:val="24"/>
          <w:szCs w:val="24"/>
        </w:rPr>
        <w:t>r</w:t>
      </w:r>
      <w:r w:rsidR="004924AA">
        <w:rPr>
          <w:sz w:val="24"/>
          <w:szCs w:val="24"/>
        </w:rPr>
        <w:t>zeugung</w:t>
      </w:r>
      <w:r w:rsidR="00A31A6A">
        <w:rPr>
          <w:sz w:val="24"/>
          <w:szCs w:val="24"/>
        </w:rPr>
        <w:t xml:space="preserve"> </w:t>
      </w:r>
      <w:r w:rsidR="004924AA">
        <w:rPr>
          <w:sz w:val="24"/>
          <w:szCs w:val="24"/>
        </w:rPr>
        <w:t>w</w:t>
      </w:r>
      <w:r>
        <w:rPr>
          <w:sz w:val="24"/>
          <w:szCs w:val="24"/>
        </w:rPr>
        <w:t>urde unter diesen Umständen</w:t>
      </w:r>
      <w:r w:rsidR="004924AA">
        <w:rPr>
          <w:sz w:val="24"/>
          <w:szCs w:val="24"/>
        </w:rPr>
        <w:t xml:space="preserve"> </w:t>
      </w:r>
      <w:r w:rsidR="00A31A6A">
        <w:rPr>
          <w:sz w:val="24"/>
          <w:szCs w:val="24"/>
        </w:rPr>
        <w:t xml:space="preserve">der </w:t>
      </w:r>
      <w:r w:rsidR="004924AA">
        <w:rPr>
          <w:sz w:val="24"/>
          <w:szCs w:val="24"/>
        </w:rPr>
        <w:t>„Antifaschismus“</w:t>
      </w:r>
      <w:r>
        <w:rPr>
          <w:sz w:val="24"/>
          <w:szCs w:val="24"/>
        </w:rPr>
        <w:t xml:space="preserve"> – ein Begriff, der </w:t>
      </w:r>
      <w:r w:rsidR="00255383">
        <w:rPr>
          <w:sz w:val="24"/>
          <w:szCs w:val="24"/>
        </w:rPr>
        <w:t>unterschie</w:t>
      </w:r>
      <w:r w:rsidR="00255383">
        <w:rPr>
          <w:sz w:val="24"/>
          <w:szCs w:val="24"/>
        </w:rPr>
        <w:t>d</w:t>
      </w:r>
      <w:r w:rsidR="00255383">
        <w:rPr>
          <w:sz w:val="24"/>
          <w:szCs w:val="24"/>
        </w:rPr>
        <w:t>lich ausdeutbar</w:t>
      </w:r>
      <w:r>
        <w:rPr>
          <w:sz w:val="24"/>
          <w:szCs w:val="24"/>
        </w:rPr>
        <w:t xml:space="preserve"> war</w:t>
      </w:r>
      <w:r w:rsidR="00255383">
        <w:rPr>
          <w:sz w:val="24"/>
          <w:szCs w:val="24"/>
        </w:rPr>
        <w:t xml:space="preserve">, </w:t>
      </w:r>
      <w:r>
        <w:rPr>
          <w:sz w:val="24"/>
          <w:szCs w:val="24"/>
        </w:rPr>
        <w:t xml:space="preserve">dabei </w:t>
      </w:r>
      <w:r w:rsidR="00255383">
        <w:rPr>
          <w:sz w:val="24"/>
          <w:szCs w:val="24"/>
        </w:rPr>
        <w:t xml:space="preserve">nach außen </w:t>
      </w:r>
      <w:r>
        <w:rPr>
          <w:sz w:val="24"/>
          <w:szCs w:val="24"/>
        </w:rPr>
        <w:t>den Eindruck von P</w:t>
      </w:r>
      <w:r w:rsidR="00255383">
        <w:rPr>
          <w:sz w:val="24"/>
          <w:szCs w:val="24"/>
        </w:rPr>
        <w:t>rägnan</w:t>
      </w:r>
      <w:r>
        <w:rPr>
          <w:sz w:val="24"/>
          <w:szCs w:val="24"/>
        </w:rPr>
        <w:t>z</w:t>
      </w:r>
      <w:r w:rsidR="00255383">
        <w:rPr>
          <w:sz w:val="24"/>
          <w:szCs w:val="24"/>
        </w:rPr>
        <w:t xml:space="preserve"> und </w:t>
      </w:r>
      <w:r>
        <w:rPr>
          <w:sz w:val="24"/>
          <w:szCs w:val="24"/>
        </w:rPr>
        <w:t>E</w:t>
      </w:r>
      <w:r w:rsidR="00255383">
        <w:rPr>
          <w:sz w:val="24"/>
          <w:szCs w:val="24"/>
        </w:rPr>
        <w:t>indeutig</w:t>
      </w:r>
      <w:r>
        <w:rPr>
          <w:sz w:val="24"/>
          <w:szCs w:val="24"/>
        </w:rPr>
        <w:t>keit vermi</w:t>
      </w:r>
      <w:r>
        <w:rPr>
          <w:sz w:val="24"/>
          <w:szCs w:val="24"/>
        </w:rPr>
        <w:t>t</w:t>
      </w:r>
      <w:r>
        <w:rPr>
          <w:sz w:val="24"/>
          <w:szCs w:val="24"/>
        </w:rPr>
        <w:t>telte</w:t>
      </w:r>
      <w:r w:rsidR="00255383">
        <w:rPr>
          <w:sz w:val="24"/>
          <w:szCs w:val="24"/>
        </w:rPr>
        <w:t xml:space="preserve">, </w:t>
      </w:r>
      <w:r w:rsidR="00C075BF">
        <w:rPr>
          <w:sz w:val="24"/>
          <w:szCs w:val="24"/>
        </w:rPr>
        <w:t xml:space="preserve">aber </w:t>
      </w:r>
      <w:r w:rsidR="00255383">
        <w:rPr>
          <w:sz w:val="24"/>
          <w:szCs w:val="24"/>
        </w:rPr>
        <w:t>in W</w:t>
      </w:r>
      <w:r w:rsidR="00C075BF">
        <w:rPr>
          <w:sz w:val="24"/>
          <w:szCs w:val="24"/>
        </w:rPr>
        <w:t>ahrheit</w:t>
      </w:r>
      <w:r w:rsidR="00255383">
        <w:rPr>
          <w:sz w:val="24"/>
          <w:szCs w:val="24"/>
        </w:rPr>
        <w:t xml:space="preserve"> eher vage und </w:t>
      </w:r>
      <w:r w:rsidR="00C075BF">
        <w:rPr>
          <w:sz w:val="24"/>
          <w:szCs w:val="24"/>
        </w:rPr>
        <w:t>vieldeutig war</w:t>
      </w:r>
      <w:r w:rsidR="00255383">
        <w:rPr>
          <w:sz w:val="24"/>
          <w:szCs w:val="24"/>
        </w:rPr>
        <w:t>.</w:t>
      </w:r>
      <w:r w:rsidR="00D80826" w:rsidRPr="00D80826">
        <w:rPr>
          <w:sz w:val="24"/>
          <w:szCs w:val="24"/>
        </w:rPr>
        <w:t xml:space="preserve"> </w:t>
      </w:r>
      <w:r w:rsidR="00D80826">
        <w:rPr>
          <w:sz w:val="24"/>
          <w:szCs w:val="24"/>
        </w:rPr>
        <w:t xml:space="preserve">Es war eine </w:t>
      </w:r>
      <w:r w:rsidR="002D6EC4">
        <w:rPr>
          <w:sz w:val="24"/>
          <w:szCs w:val="24"/>
        </w:rPr>
        <w:t>Losung, geeignet, eine große Gruppe von politisch aktiven Personen zu binden und zu gemeinsame</w:t>
      </w:r>
      <w:r w:rsidR="009033BF">
        <w:rPr>
          <w:sz w:val="24"/>
          <w:szCs w:val="24"/>
        </w:rPr>
        <w:t>m</w:t>
      </w:r>
      <w:r w:rsidR="002D6EC4">
        <w:rPr>
          <w:sz w:val="24"/>
          <w:szCs w:val="24"/>
        </w:rPr>
        <w:t xml:space="preserve"> Handeln zu motivi</w:t>
      </w:r>
      <w:r w:rsidR="002D6EC4">
        <w:rPr>
          <w:sz w:val="24"/>
          <w:szCs w:val="24"/>
        </w:rPr>
        <w:t>e</w:t>
      </w:r>
      <w:r w:rsidR="002D6EC4">
        <w:rPr>
          <w:sz w:val="24"/>
          <w:szCs w:val="24"/>
        </w:rPr>
        <w:t>ren</w:t>
      </w:r>
      <w:r w:rsidR="00D80826">
        <w:rPr>
          <w:sz w:val="24"/>
          <w:szCs w:val="24"/>
        </w:rPr>
        <w:t>.</w:t>
      </w:r>
    </w:p>
    <w:p w:rsidR="00142805" w:rsidRDefault="003C6AFC" w:rsidP="001D2105">
      <w:pPr>
        <w:spacing w:after="0"/>
        <w:ind w:firstLine="708"/>
        <w:jc w:val="both"/>
        <w:rPr>
          <w:sz w:val="24"/>
          <w:szCs w:val="24"/>
        </w:rPr>
      </w:pPr>
      <w:r>
        <w:rPr>
          <w:sz w:val="24"/>
          <w:szCs w:val="24"/>
        </w:rPr>
        <w:t xml:space="preserve">Die Stärke des Begriffes </w:t>
      </w:r>
      <w:r w:rsidR="00C075BF">
        <w:rPr>
          <w:sz w:val="24"/>
          <w:szCs w:val="24"/>
        </w:rPr>
        <w:t>war ihr</w:t>
      </w:r>
      <w:r>
        <w:rPr>
          <w:sz w:val="24"/>
          <w:szCs w:val="24"/>
        </w:rPr>
        <w:t xml:space="preserve"> </w:t>
      </w:r>
      <w:r w:rsidRPr="00CB59F9">
        <w:rPr>
          <w:sz w:val="24"/>
          <w:szCs w:val="24"/>
        </w:rPr>
        <w:t>analytische</w:t>
      </w:r>
      <w:r w:rsidR="00C075BF">
        <w:rPr>
          <w:sz w:val="24"/>
          <w:szCs w:val="24"/>
        </w:rPr>
        <w:t>r Kern</w:t>
      </w:r>
      <w:r>
        <w:rPr>
          <w:sz w:val="24"/>
          <w:szCs w:val="24"/>
        </w:rPr>
        <w:t>. Indem er unmittelbar – exkludi</w:t>
      </w:r>
      <w:r>
        <w:rPr>
          <w:sz w:val="24"/>
          <w:szCs w:val="24"/>
        </w:rPr>
        <w:t>e</w:t>
      </w:r>
      <w:r>
        <w:rPr>
          <w:sz w:val="24"/>
          <w:szCs w:val="24"/>
        </w:rPr>
        <w:t>rend – auf den</w:t>
      </w:r>
      <w:r w:rsidR="00A31A6A">
        <w:rPr>
          <w:sz w:val="24"/>
          <w:szCs w:val="24"/>
        </w:rPr>
        <w:t xml:space="preserve"> „Faschismus“ </w:t>
      </w:r>
      <w:r>
        <w:rPr>
          <w:sz w:val="24"/>
          <w:szCs w:val="24"/>
        </w:rPr>
        <w:t xml:space="preserve">Bezug nahm, thematisierte er implizit </w:t>
      </w:r>
      <w:r w:rsidR="000118B1">
        <w:rPr>
          <w:sz w:val="24"/>
          <w:szCs w:val="24"/>
        </w:rPr>
        <w:t xml:space="preserve">die </w:t>
      </w:r>
      <w:r w:rsidR="00F720A4">
        <w:rPr>
          <w:sz w:val="24"/>
          <w:szCs w:val="24"/>
        </w:rPr>
        <w:t xml:space="preserve">sozial- und </w:t>
      </w:r>
      <w:r w:rsidR="000118B1">
        <w:rPr>
          <w:sz w:val="24"/>
          <w:szCs w:val="24"/>
        </w:rPr>
        <w:t>ideeng</w:t>
      </w:r>
      <w:r w:rsidR="000118B1">
        <w:rPr>
          <w:sz w:val="24"/>
          <w:szCs w:val="24"/>
        </w:rPr>
        <w:t>e</w:t>
      </w:r>
      <w:r w:rsidR="000118B1">
        <w:rPr>
          <w:sz w:val="24"/>
          <w:szCs w:val="24"/>
        </w:rPr>
        <w:t>schichtliche</w:t>
      </w:r>
      <w:r w:rsidR="000C1566">
        <w:rPr>
          <w:sz w:val="24"/>
          <w:szCs w:val="24"/>
        </w:rPr>
        <w:t>n</w:t>
      </w:r>
      <w:r w:rsidR="00F720A4">
        <w:rPr>
          <w:sz w:val="24"/>
          <w:szCs w:val="24"/>
        </w:rPr>
        <w:t xml:space="preserve"> </w:t>
      </w:r>
      <w:r w:rsidR="000118B1">
        <w:rPr>
          <w:sz w:val="24"/>
          <w:szCs w:val="24"/>
        </w:rPr>
        <w:t>Entwicklung</w:t>
      </w:r>
      <w:r w:rsidR="000C1566">
        <w:rPr>
          <w:sz w:val="24"/>
          <w:szCs w:val="24"/>
        </w:rPr>
        <w:t>en</w:t>
      </w:r>
      <w:r w:rsidR="00611629">
        <w:rPr>
          <w:sz w:val="24"/>
          <w:szCs w:val="24"/>
        </w:rPr>
        <w:t xml:space="preserve">, die zur Bildung </w:t>
      </w:r>
      <w:r w:rsidR="000118B1">
        <w:rPr>
          <w:sz w:val="24"/>
          <w:szCs w:val="24"/>
        </w:rPr>
        <w:t xml:space="preserve">der europäischen </w:t>
      </w:r>
      <w:proofErr w:type="spellStart"/>
      <w:r w:rsidR="000118B1">
        <w:rPr>
          <w:sz w:val="24"/>
          <w:szCs w:val="24"/>
        </w:rPr>
        <w:t>Faschismen</w:t>
      </w:r>
      <w:proofErr w:type="spellEnd"/>
      <w:r>
        <w:rPr>
          <w:rStyle w:val="Funotenzeichen"/>
          <w:sz w:val="24"/>
          <w:szCs w:val="24"/>
        </w:rPr>
        <w:footnoteReference w:id="25"/>
      </w:r>
      <w:r>
        <w:rPr>
          <w:sz w:val="24"/>
          <w:szCs w:val="24"/>
        </w:rPr>
        <w:t xml:space="preserve"> </w:t>
      </w:r>
      <w:r w:rsidR="00CB59F9">
        <w:rPr>
          <w:sz w:val="24"/>
          <w:szCs w:val="24"/>
        </w:rPr>
        <w:t>geführt hatten</w:t>
      </w:r>
      <w:r w:rsidR="00C075BF">
        <w:rPr>
          <w:sz w:val="24"/>
          <w:szCs w:val="24"/>
        </w:rPr>
        <w:t>:</w:t>
      </w:r>
      <w:r w:rsidR="00CB59F9">
        <w:rPr>
          <w:sz w:val="24"/>
          <w:szCs w:val="24"/>
        </w:rPr>
        <w:t xml:space="preserve"> </w:t>
      </w:r>
      <w:r>
        <w:rPr>
          <w:sz w:val="24"/>
          <w:szCs w:val="24"/>
        </w:rPr>
        <w:t xml:space="preserve">vor allem </w:t>
      </w:r>
      <w:r w:rsidR="00C075BF">
        <w:rPr>
          <w:sz w:val="24"/>
          <w:szCs w:val="24"/>
        </w:rPr>
        <w:t xml:space="preserve">das Entstehen </w:t>
      </w:r>
      <w:r>
        <w:rPr>
          <w:sz w:val="24"/>
          <w:szCs w:val="24"/>
        </w:rPr>
        <w:t>des italienischen Faschismus, der der gesamteuropäischen Entwic</w:t>
      </w:r>
      <w:r>
        <w:rPr>
          <w:sz w:val="24"/>
          <w:szCs w:val="24"/>
        </w:rPr>
        <w:t>k</w:t>
      </w:r>
      <w:r>
        <w:rPr>
          <w:sz w:val="24"/>
          <w:szCs w:val="24"/>
        </w:rPr>
        <w:t>lung den Namen gegeben hatte. „Antifaschismus“ w</w:t>
      </w:r>
      <w:r w:rsidR="00CB59F9">
        <w:rPr>
          <w:sz w:val="24"/>
          <w:szCs w:val="24"/>
        </w:rPr>
        <w:t>a</w:t>
      </w:r>
      <w:r>
        <w:rPr>
          <w:sz w:val="24"/>
          <w:szCs w:val="24"/>
        </w:rPr>
        <w:t>r in diesem Sinne die Antwort der polit</w:t>
      </w:r>
      <w:r>
        <w:rPr>
          <w:sz w:val="24"/>
          <w:szCs w:val="24"/>
        </w:rPr>
        <w:t>i</w:t>
      </w:r>
      <w:r>
        <w:rPr>
          <w:sz w:val="24"/>
          <w:szCs w:val="24"/>
        </w:rPr>
        <w:t>schen Linken</w:t>
      </w:r>
      <w:r w:rsidR="00CB59F9">
        <w:rPr>
          <w:sz w:val="24"/>
          <w:szCs w:val="24"/>
        </w:rPr>
        <w:t xml:space="preserve"> auf Ereignisse wie die Dreyfus-Affäre, Mussolinis „Marsch auf Rom“</w:t>
      </w:r>
      <w:r w:rsidR="00CB59F9" w:rsidRPr="00CB59F9">
        <w:rPr>
          <w:sz w:val="24"/>
          <w:szCs w:val="24"/>
        </w:rPr>
        <w:t xml:space="preserve"> </w:t>
      </w:r>
      <w:r w:rsidR="00CB59F9">
        <w:rPr>
          <w:sz w:val="24"/>
          <w:szCs w:val="24"/>
        </w:rPr>
        <w:t xml:space="preserve">oder die </w:t>
      </w:r>
      <w:r w:rsidR="00CB59F9">
        <w:rPr>
          <w:sz w:val="24"/>
          <w:szCs w:val="24"/>
        </w:rPr>
        <w:lastRenderedPageBreak/>
        <w:t>nationalsozialistische „Machtergreifung“. „Faschismus“ wurde als zentrales</w:t>
      </w:r>
      <w:r>
        <w:rPr>
          <w:sz w:val="24"/>
          <w:szCs w:val="24"/>
        </w:rPr>
        <w:t xml:space="preserve"> Konzept des pol</w:t>
      </w:r>
      <w:r>
        <w:rPr>
          <w:sz w:val="24"/>
          <w:szCs w:val="24"/>
        </w:rPr>
        <w:t>i</w:t>
      </w:r>
      <w:r>
        <w:rPr>
          <w:sz w:val="24"/>
          <w:szCs w:val="24"/>
        </w:rPr>
        <w:t xml:space="preserve">tischen Konservativismus </w:t>
      </w:r>
      <w:r w:rsidR="002D6EC4">
        <w:rPr>
          <w:sz w:val="24"/>
          <w:szCs w:val="24"/>
        </w:rPr>
        <w:t>für eine Neuordnung Europas im Sinne der Reaktion verstanden</w:t>
      </w:r>
      <w:r w:rsidR="00CB59F9">
        <w:rPr>
          <w:sz w:val="24"/>
          <w:szCs w:val="24"/>
        </w:rPr>
        <w:t>. „Antifaschismus“ war entsprechend der</w:t>
      </w:r>
      <w:r>
        <w:rPr>
          <w:sz w:val="24"/>
          <w:szCs w:val="24"/>
        </w:rPr>
        <w:t xml:space="preserve"> </w:t>
      </w:r>
      <w:r w:rsidRPr="00CB59F9">
        <w:rPr>
          <w:sz w:val="24"/>
          <w:szCs w:val="24"/>
        </w:rPr>
        <w:t>Sammelbegriff</w:t>
      </w:r>
      <w:r w:rsidRPr="005D5D91">
        <w:rPr>
          <w:i/>
          <w:sz w:val="24"/>
          <w:szCs w:val="24"/>
        </w:rPr>
        <w:t xml:space="preserve"> </w:t>
      </w:r>
      <w:r w:rsidRPr="00CB59F9">
        <w:rPr>
          <w:sz w:val="24"/>
          <w:szCs w:val="24"/>
        </w:rPr>
        <w:t xml:space="preserve">für </w:t>
      </w:r>
      <w:r w:rsidR="00CB59F9">
        <w:rPr>
          <w:sz w:val="24"/>
          <w:szCs w:val="24"/>
        </w:rPr>
        <w:t>die g</w:t>
      </w:r>
      <w:r w:rsidRPr="00CB59F9">
        <w:rPr>
          <w:sz w:val="24"/>
          <w:szCs w:val="24"/>
        </w:rPr>
        <w:t>egen</w:t>
      </w:r>
      <w:r w:rsidR="00CB59F9">
        <w:rPr>
          <w:sz w:val="24"/>
          <w:szCs w:val="24"/>
        </w:rPr>
        <w:t xml:space="preserve"> den Faschismus geric</w:t>
      </w:r>
      <w:r w:rsidR="00CB59F9">
        <w:rPr>
          <w:sz w:val="24"/>
          <w:szCs w:val="24"/>
        </w:rPr>
        <w:t>h</w:t>
      </w:r>
      <w:r w:rsidR="00CB59F9">
        <w:rPr>
          <w:sz w:val="24"/>
          <w:szCs w:val="24"/>
        </w:rPr>
        <w:t xml:space="preserve">teten </w:t>
      </w:r>
      <w:r w:rsidRPr="00CB59F9">
        <w:rPr>
          <w:sz w:val="24"/>
          <w:szCs w:val="24"/>
        </w:rPr>
        <w:t>Protes</w:t>
      </w:r>
      <w:r w:rsidR="00CB59F9" w:rsidRPr="00CB59F9">
        <w:rPr>
          <w:sz w:val="24"/>
          <w:szCs w:val="24"/>
        </w:rPr>
        <w:t>t</w:t>
      </w:r>
      <w:r w:rsidRPr="00CB59F9">
        <w:rPr>
          <w:sz w:val="24"/>
          <w:szCs w:val="24"/>
        </w:rPr>
        <w:t>bewegungen</w:t>
      </w:r>
      <w:r w:rsidR="00CB59F9">
        <w:rPr>
          <w:sz w:val="24"/>
          <w:szCs w:val="24"/>
        </w:rPr>
        <w:t>:</w:t>
      </w:r>
      <w:r>
        <w:rPr>
          <w:sz w:val="24"/>
          <w:szCs w:val="24"/>
        </w:rPr>
        <w:t xml:space="preserve"> </w:t>
      </w:r>
      <w:r w:rsidR="00CB59F9">
        <w:rPr>
          <w:sz w:val="24"/>
          <w:szCs w:val="24"/>
        </w:rPr>
        <w:t xml:space="preserve">also für das </w:t>
      </w:r>
      <w:r>
        <w:rPr>
          <w:sz w:val="24"/>
          <w:szCs w:val="24"/>
        </w:rPr>
        <w:t xml:space="preserve">Weltkomitee gegen Krieg und Faschismus oder das </w:t>
      </w:r>
      <w:proofErr w:type="spellStart"/>
      <w:r>
        <w:rPr>
          <w:sz w:val="24"/>
          <w:szCs w:val="24"/>
        </w:rPr>
        <w:t>Rassemblement</w:t>
      </w:r>
      <w:proofErr w:type="spellEnd"/>
      <w:r>
        <w:rPr>
          <w:sz w:val="24"/>
          <w:szCs w:val="24"/>
        </w:rPr>
        <w:t xml:space="preserve"> </w:t>
      </w:r>
      <w:proofErr w:type="spellStart"/>
      <w:r w:rsidR="009F09F5">
        <w:rPr>
          <w:sz w:val="24"/>
          <w:szCs w:val="24"/>
        </w:rPr>
        <w:t>Universel</w:t>
      </w:r>
      <w:proofErr w:type="spellEnd"/>
      <w:r w:rsidR="009F09F5">
        <w:rPr>
          <w:sz w:val="24"/>
          <w:szCs w:val="24"/>
        </w:rPr>
        <w:t xml:space="preserve"> </w:t>
      </w:r>
      <w:proofErr w:type="spellStart"/>
      <w:r>
        <w:rPr>
          <w:sz w:val="24"/>
          <w:szCs w:val="24"/>
        </w:rPr>
        <w:t>pour</w:t>
      </w:r>
      <w:proofErr w:type="spellEnd"/>
      <w:r>
        <w:rPr>
          <w:sz w:val="24"/>
          <w:szCs w:val="24"/>
        </w:rPr>
        <w:t xml:space="preserve"> la </w:t>
      </w:r>
      <w:proofErr w:type="spellStart"/>
      <w:r>
        <w:rPr>
          <w:sz w:val="24"/>
          <w:szCs w:val="24"/>
        </w:rPr>
        <w:t>Paix</w:t>
      </w:r>
      <w:proofErr w:type="spellEnd"/>
      <w:r w:rsidR="00CB59F9">
        <w:rPr>
          <w:sz w:val="24"/>
          <w:szCs w:val="24"/>
        </w:rPr>
        <w:t>.</w:t>
      </w:r>
      <w:r w:rsidR="00D84501">
        <w:rPr>
          <w:sz w:val="24"/>
          <w:szCs w:val="24"/>
        </w:rPr>
        <w:t xml:space="preserve"> </w:t>
      </w:r>
      <w:r w:rsidR="002D6EC4">
        <w:rPr>
          <w:sz w:val="24"/>
          <w:szCs w:val="24"/>
        </w:rPr>
        <w:t>– D</w:t>
      </w:r>
      <w:r w:rsidR="00F211A0">
        <w:rPr>
          <w:sz w:val="24"/>
          <w:szCs w:val="24"/>
        </w:rPr>
        <w:t>as verbindende Element dieser Deutungen war, dass es sich</w:t>
      </w:r>
      <w:r w:rsidR="00F841E5">
        <w:rPr>
          <w:sz w:val="24"/>
          <w:szCs w:val="24"/>
        </w:rPr>
        <w:t xml:space="preserve"> </w:t>
      </w:r>
      <w:r w:rsidR="00F3463D">
        <w:rPr>
          <w:sz w:val="24"/>
          <w:szCs w:val="24"/>
        </w:rPr>
        <w:t xml:space="preserve">beim Faschismus </w:t>
      </w:r>
      <w:r w:rsidR="00F211A0">
        <w:rPr>
          <w:sz w:val="24"/>
          <w:szCs w:val="24"/>
        </w:rPr>
        <w:t xml:space="preserve">um </w:t>
      </w:r>
      <w:r w:rsidR="00F3463D">
        <w:rPr>
          <w:sz w:val="24"/>
          <w:szCs w:val="24"/>
        </w:rPr>
        <w:t xml:space="preserve">ein </w:t>
      </w:r>
      <w:r w:rsidR="00F211A0" w:rsidRPr="00F211A0">
        <w:rPr>
          <w:i/>
          <w:sz w:val="24"/>
          <w:szCs w:val="24"/>
        </w:rPr>
        <w:t>Krisensymptom der bürgerlichen Gesellschaft</w:t>
      </w:r>
      <w:r w:rsidR="00F211A0">
        <w:rPr>
          <w:sz w:val="24"/>
          <w:szCs w:val="24"/>
        </w:rPr>
        <w:t xml:space="preserve"> handel</w:t>
      </w:r>
      <w:r w:rsidR="00CB59F9">
        <w:rPr>
          <w:sz w:val="24"/>
          <w:szCs w:val="24"/>
        </w:rPr>
        <w:t>t</w:t>
      </w:r>
      <w:r w:rsidR="00F211A0">
        <w:rPr>
          <w:sz w:val="24"/>
          <w:szCs w:val="24"/>
        </w:rPr>
        <w:t>e</w:t>
      </w:r>
      <w:r w:rsidR="00F3463D">
        <w:rPr>
          <w:sz w:val="24"/>
          <w:szCs w:val="24"/>
        </w:rPr>
        <w:t>. Er stellte eine Bedrohung</w:t>
      </w:r>
      <w:r w:rsidR="002D6EC4">
        <w:rPr>
          <w:sz w:val="24"/>
          <w:szCs w:val="24"/>
        </w:rPr>
        <w:t xml:space="preserve"> aller </w:t>
      </w:r>
      <w:r w:rsidR="00CB59F9">
        <w:rPr>
          <w:sz w:val="24"/>
          <w:szCs w:val="24"/>
        </w:rPr>
        <w:t>politisch „fortschrittliche</w:t>
      </w:r>
      <w:r w:rsidR="002D6EC4">
        <w:rPr>
          <w:sz w:val="24"/>
          <w:szCs w:val="24"/>
        </w:rPr>
        <w:t>n</w:t>
      </w:r>
      <w:r w:rsidR="00CB59F9">
        <w:rPr>
          <w:sz w:val="24"/>
          <w:szCs w:val="24"/>
        </w:rPr>
        <w:t>“ Entwicklungen</w:t>
      </w:r>
      <w:r w:rsidR="002D6EC4">
        <w:rPr>
          <w:sz w:val="24"/>
          <w:szCs w:val="24"/>
        </w:rPr>
        <w:t xml:space="preserve"> in Europa dar</w:t>
      </w:r>
      <w:r w:rsidR="00CB59F9">
        <w:rPr>
          <w:sz w:val="24"/>
          <w:szCs w:val="24"/>
        </w:rPr>
        <w:t>, in</w:t>
      </w:r>
      <w:r w:rsidR="00CB59F9">
        <w:rPr>
          <w:sz w:val="24"/>
          <w:szCs w:val="24"/>
        </w:rPr>
        <w:t>s</w:t>
      </w:r>
      <w:r w:rsidR="00CB59F9">
        <w:rPr>
          <w:sz w:val="24"/>
          <w:szCs w:val="24"/>
        </w:rPr>
        <w:t xml:space="preserve">besondere </w:t>
      </w:r>
      <w:r w:rsidR="00F3463D">
        <w:rPr>
          <w:sz w:val="24"/>
          <w:szCs w:val="24"/>
        </w:rPr>
        <w:t>der Sowjetunion</w:t>
      </w:r>
      <w:r w:rsidR="00CB59F9">
        <w:rPr>
          <w:sz w:val="24"/>
          <w:szCs w:val="24"/>
        </w:rPr>
        <w:t>,</w:t>
      </w:r>
      <w:r w:rsidR="00F3463D">
        <w:rPr>
          <w:sz w:val="24"/>
          <w:szCs w:val="24"/>
        </w:rPr>
        <w:t xml:space="preserve"> gefährdete den Frieden</w:t>
      </w:r>
      <w:r w:rsidR="002D6EC4">
        <w:rPr>
          <w:sz w:val="24"/>
          <w:szCs w:val="24"/>
        </w:rPr>
        <w:t>,</w:t>
      </w:r>
      <w:r w:rsidR="00563D7B">
        <w:rPr>
          <w:sz w:val="24"/>
          <w:szCs w:val="24"/>
        </w:rPr>
        <w:t xml:space="preserve"> </w:t>
      </w:r>
      <w:r w:rsidR="002D6EC4">
        <w:rPr>
          <w:sz w:val="24"/>
          <w:szCs w:val="24"/>
        </w:rPr>
        <w:t>schloss</w:t>
      </w:r>
      <w:r w:rsidR="00563D7B">
        <w:rPr>
          <w:sz w:val="24"/>
          <w:szCs w:val="24"/>
        </w:rPr>
        <w:t xml:space="preserve"> eine starke antisemitische Ko</w:t>
      </w:r>
      <w:r w:rsidR="00563D7B">
        <w:rPr>
          <w:sz w:val="24"/>
          <w:szCs w:val="24"/>
        </w:rPr>
        <w:t>m</w:t>
      </w:r>
      <w:r w:rsidR="00563D7B">
        <w:rPr>
          <w:sz w:val="24"/>
          <w:szCs w:val="24"/>
        </w:rPr>
        <w:t xml:space="preserve">ponente </w:t>
      </w:r>
      <w:r w:rsidR="00EA7075">
        <w:rPr>
          <w:sz w:val="24"/>
          <w:szCs w:val="24"/>
        </w:rPr>
        <w:t xml:space="preserve">ein </w:t>
      </w:r>
      <w:r w:rsidR="00F3463D">
        <w:rPr>
          <w:sz w:val="24"/>
          <w:szCs w:val="24"/>
        </w:rPr>
        <w:t xml:space="preserve">und hob in </w:t>
      </w:r>
      <w:r w:rsidR="00563D7B">
        <w:rPr>
          <w:sz w:val="24"/>
          <w:szCs w:val="24"/>
        </w:rPr>
        <w:t>den Ländern, in denen er zur Macht gelangt war,</w:t>
      </w:r>
      <w:r w:rsidR="00F211A0">
        <w:rPr>
          <w:sz w:val="24"/>
          <w:szCs w:val="24"/>
        </w:rPr>
        <w:t xml:space="preserve"> </w:t>
      </w:r>
      <w:r w:rsidR="00563D7B">
        <w:rPr>
          <w:sz w:val="24"/>
          <w:szCs w:val="24"/>
        </w:rPr>
        <w:t xml:space="preserve">demokratische </w:t>
      </w:r>
      <w:r w:rsidR="00F211A0">
        <w:rPr>
          <w:sz w:val="24"/>
          <w:szCs w:val="24"/>
        </w:rPr>
        <w:t>Grundrechte, vor allem Freiheits- und Gleichheitsrechte, auf.</w:t>
      </w:r>
      <w:r w:rsidR="00255383">
        <w:rPr>
          <w:sz w:val="24"/>
          <w:szCs w:val="24"/>
        </w:rPr>
        <w:t xml:space="preserve"> </w:t>
      </w:r>
    </w:p>
    <w:p w:rsidR="007D2411" w:rsidRDefault="00563D7B" w:rsidP="001D2105">
      <w:pPr>
        <w:spacing w:after="0"/>
        <w:ind w:firstLine="708"/>
        <w:jc w:val="both"/>
        <w:rPr>
          <w:sz w:val="24"/>
          <w:szCs w:val="24"/>
        </w:rPr>
      </w:pPr>
      <w:r>
        <w:rPr>
          <w:sz w:val="24"/>
          <w:szCs w:val="24"/>
        </w:rPr>
        <w:t xml:space="preserve">Aufgrund seiner </w:t>
      </w:r>
      <w:r w:rsidR="00255383">
        <w:rPr>
          <w:sz w:val="24"/>
          <w:szCs w:val="24"/>
        </w:rPr>
        <w:t xml:space="preserve">Vieldeutigkeit </w:t>
      </w:r>
      <w:r>
        <w:rPr>
          <w:sz w:val="24"/>
          <w:szCs w:val="24"/>
        </w:rPr>
        <w:t>war der</w:t>
      </w:r>
      <w:r w:rsidR="00255383">
        <w:rPr>
          <w:sz w:val="24"/>
          <w:szCs w:val="24"/>
        </w:rPr>
        <w:t xml:space="preserve"> Begriff </w:t>
      </w:r>
      <w:r w:rsidR="00C075BF">
        <w:rPr>
          <w:sz w:val="24"/>
          <w:szCs w:val="24"/>
        </w:rPr>
        <w:t xml:space="preserve">zugleich </w:t>
      </w:r>
      <w:r>
        <w:rPr>
          <w:sz w:val="24"/>
          <w:szCs w:val="24"/>
        </w:rPr>
        <w:t>außerordentlich</w:t>
      </w:r>
      <w:r w:rsidR="0017712B">
        <w:rPr>
          <w:sz w:val="24"/>
          <w:szCs w:val="24"/>
        </w:rPr>
        <w:t xml:space="preserve"> </w:t>
      </w:r>
      <w:r w:rsidR="00CC379E">
        <w:rPr>
          <w:sz w:val="24"/>
          <w:szCs w:val="24"/>
        </w:rPr>
        <w:t>problem</w:t>
      </w:r>
      <w:r w:rsidR="00CC379E">
        <w:rPr>
          <w:sz w:val="24"/>
          <w:szCs w:val="24"/>
        </w:rPr>
        <w:t>a</w:t>
      </w:r>
      <w:r w:rsidR="00CC379E">
        <w:rPr>
          <w:sz w:val="24"/>
          <w:szCs w:val="24"/>
        </w:rPr>
        <w:t>tis</w:t>
      </w:r>
      <w:r w:rsidR="0017712B">
        <w:rPr>
          <w:sz w:val="24"/>
          <w:szCs w:val="24"/>
        </w:rPr>
        <w:t>ch</w:t>
      </w:r>
      <w:r w:rsidR="00255383">
        <w:rPr>
          <w:sz w:val="24"/>
          <w:szCs w:val="24"/>
        </w:rPr>
        <w:t xml:space="preserve">. </w:t>
      </w:r>
      <w:r w:rsidR="00CC379E">
        <w:rPr>
          <w:sz w:val="24"/>
          <w:szCs w:val="24"/>
        </w:rPr>
        <w:t xml:space="preserve">Nach außen hin </w:t>
      </w:r>
      <w:r w:rsidR="00CA7424">
        <w:rPr>
          <w:sz w:val="24"/>
          <w:szCs w:val="24"/>
        </w:rPr>
        <w:t>richtete</w:t>
      </w:r>
      <w:r w:rsidR="00CC379E">
        <w:rPr>
          <w:sz w:val="24"/>
          <w:szCs w:val="24"/>
        </w:rPr>
        <w:t xml:space="preserve"> er </w:t>
      </w:r>
      <w:r w:rsidR="00CA7424">
        <w:rPr>
          <w:sz w:val="24"/>
          <w:szCs w:val="24"/>
        </w:rPr>
        <w:t xml:space="preserve">sich </w:t>
      </w:r>
      <w:r w:rsidR="00CC379E">
        <w:rPr>
          <w:sz w:val="24"/>
          <w:szCs w:val="24"/>
        </w:rPr>
        <w:t xml:space="preserve">klar und eindeutig </w:t>
      </w:r>
      <w:r w:rsidR="00CA7424">
        <w:rPr>
          <w:sz w:val="24"/>
          <w:szCs w:val="24"/>
        </w:rPr>
        <w:t xml:space="preserve">gegen </w:t>
      </w:r>
      <w:r w:rsidR="00CC379E">
        <w:rPr>
          <w:sz w:val="24"/>
          <w:szCs w:val="24"/>
        </w:rPr>
        <w:t xml:space="preserve">den politischen Gegner: </w:t>
      </w:r>
      <w:r w:rsidR="00CA7424">
        <w:rPr>
          <w:sz w:val="24"/>
          <w:szCs w:val="24"/>
        </w:rPr>
        <w:t>gegen</w:t>
      </w:r>
      <w:r w:rsidR="003D79AC">
        <w:rPr>
          <w:sz w:val="24"/>
          <w:szCs w:val="24"/>
        </w:rPr>
        <w:t xml:space="preserve"> Hitler und die NS-Diktatur</w:t>
      </w:r>
      <w:r w:rsidR="00C075BF">
        <w:rPr>
          <w:sz w:val="24"/>
          <w:szCs w:val="24"/>
        </w:rPr>
        <w:t>; er</w:t>
      </w:r>
      <w:r w:rsidR="003D79AC">
        <w:rPr>
          <w:sz w:val="24"/>
          <w:szCs w:val="24"/>
        </w:rPr>
        <w:t xml:space="preserve"> </w:t>
      </w:r>
      <w:r w:rsidR="00CC379E">
        <w:rPr>
          <w:sz w:val="24"/>
          <w:szCs w:val="24"/>
        </w:rPr>
        <w:t>blendete aber</w:t>
      </w:r>
      <w:r w:rsidR="007D2411">
        <w:rPr>
          <w:sz w:val="24"/>
          <w:szCs w:val="24"/>
        </w:rPr>
        <w:t xml:space="preserve"> grundlegende Fragen</w:t>
      </w:r>
      <w:r w:rsidR="005D5D91">
        <w:rPr>
          <w:sz w:val="24"/>
          <w:szCs w:val="24"/>
        </w:rPr>
        <w:t xml:space="preserve"> der </w:t>
      </w:r>
      <w:r w:rsidR="005D5D91" w:rsidRPr="00C075BF">
        <w:rPr>
          <w:i/>
          <w:sz w:val="24"/>
          <w:szCs w:val="24"/>
        </w:rPr>
        <w:t>eigenen</w:t>
      </w:r>
      <w:r w:rsidR="005D5D91">
        <w:rPr>
          <w:sz w:val="24"/>
          <w:szCs w:val="24"/>
        </w:rPr>
        <w:t xml:space="preserve"> </w:t>
      </w:r>
      <w:r w:rsidR="00CC379E">
        <w:rPr>
          <w:sz w:val="24"/>
          <w:szCs w:val="24"/>
        </w:rPr>
        <w:t xml:space="preserve">politischen </w:t>
      </w:r>
      <w:r w:rsidR="005D5D91">
        <w:rPr>
          <w:sz w:val="24"/>
          <w:szCs w:val="24"/>
        </w:rPr>
        <w:t>Zielvorstellungen</w:t>
      </w:r>
      <w:r w:rsidR="00DB7880" w:rsidRPr="00DB7880">
        <w:rPr>
          <w:sz w:val="24"/>
          <w:szCs w:val="24"/>
        </w:rPr>
        <w:t xml:space="preserve"> </w:t>
      </w:r>
      <w:r w:rsidR="00DB7880">
        <w:rPr>
          <w:sz w:val="24"/>
          <w:szCs w:val="24"/>
        </w:rPr>
        <w:t>aus</w:t>
      </w:r>
      <w:r w:rsidR="007D2411">
        <w:rPr>
          <w:sz w:val="24"/>
          <w:szCs w:val="24"/>
        </w:rPr>
        <w:t xml:space="preserve">, </w:t>
      </w:r>
      <w:r w:rsidR="00DB7880">
        <w:rPr>
          <w:sz w:val="24"/>
          <w:szCs w:val="24"/>
        </w:rPr>
        <w:t>z.B.</w:t>
      </w:r>
      <w:r w:rsidR="007D2411">
        <w:rPr>
          <w:sz w:val="24"/>
          <w:szCs w:val="24"/>
        </w:rPr>
        <w:t xml:space="preserve"> die </w:t>
      </w:r>
      <w:r w:rsidR="00DB7880">
        <w:rPr>
          <w:sz w:val="24"/>
          <w:szCs w:val="24"/>
        </w:rPr>
        <w:t xml:space="preserve">Frage </w:t>
      </w:r>
      <w:r w:rsidR="007D2411">
        <w:rPr>
          <w:sz w:val="24"/>
          <w:szCs w:val="24"/>
        </w:rPr>
        <w:t xml:space="preserve">der Verfassung </w:t>
      </w:r>
      <w:r w:rsidR="0017712B">
        <w:rPr>
          <w:sz w:val="24"/>
          <w:szCs w:val="24"/>
        </w:rPr>
        <w:t>d</w:t>
      </w:r>
      <w:r w:rsidR="007D2411">
        <w:rPr>
          <w:sz w:val="24"/>
          <w:szCs w:val="24"/>
        </w:rPr>
        <w:t>es künftigen deutschen Staates</w:t>
      </w:r>
      <w:r w:rsidR="00CC379E">
        <w:rPr>
          <w:sz w:val="24"/>
          <w:szCs w:val="24"/>
        </w:rPr>
        <w:t>.</w:t>
      </w:r>
      <w:r w:rsidR="007D2411">
        <w:rPr>
          <w:sz w:val="24"/>
          <w:szCs w:val="24"/>
        </w:rPr>
        <w:t xml:space="preserve"> </w:t>
      </w:r>
      <w:r w:rsidR="00CC379E">
        <w:rPr>
          <w:sz w:val="24"/>
          <w:szCs w:val="24"/>
        </w:rPr>
        <w:t xml:space="preserve">Auf diese Weise </w:t>
      </w:r>
      <w:r w:rsidR="003D79AC">
        <w:rPr>
          <w:sz w:val="24"/>
          <w:szCs w:val="24"/>
        </w:rPr>
        <w:t xml:space="preserve">suggerierte </w:t>
      </w:r>
      <w:r w:rsidR="0017712B">
        <w:rPr>
          <w:sz w:val="24"/>
          <w:szCs w:val="24"/>
        </w:rPr>
        <w:t xml:space="preserve">er </w:t>
      </w:r>
      <w:r w:rsidR="003D79AC">
        <w:rPr>
          <w:sz w:val="24"/>
          <w:szCs w:val="24"/>
        </w:rPr>
        <w:t>eine Gemeinsamkeit</w:t>
      </w:r>
      <w:r w:rsidR="00CC379E">
        <w:rPr>
          <w:sz w:val="24"/>
          <w:szCs w:val="24"/>
        </w:rPr>
        <w:t>, die in Wahrheit</w:t>
      </w:r>
      <w:r w:rsidR="003D79AC">
        <w:rPr>
          <w:sz w:val="24"/>
          <w:szCs w:val="24"/>
        </w:rPr>
        <w:t xml:space="preserve"> nicht </w:t>
      </w:r>
      <w:r w:rsidR="00C075BF">
        <w:rPr>
          <w:sz w:val="24"/>
          <w:szCs w:val="24"/>
        </w:rPr>
        <w:t>vorhanden war</w:t>
      </w:r>
      <w:r w:rsidR="003D79AC">
        <w:rPr>
          <w:sz w:val="24"/>
          <w:szCs w:val="24"/>
        </w:rPr>
        <w:t xml:space="preserve">. </w:t>
      </w:r>
      <w:r w:rsidR="00CC379E">
        <w:rPr>
          <w:sz w:val="24"/>
          <w:szCs w:val="24"/>
        </w:rPr>
        <w:t>S</w:t>
      </w:r>
      <w:r w:rsidR="009117B8">
        <w:rPr>
          <w:sz w:val="24"/>
          <w:szCs w:val="24"/>
        </w:rPr>
        <w:t>elbst im engeren Kreis de</w:t>
      </w:r>
      <w:r w:rsidR="00DB7880">
        <w:rPr>
          <w:sz w:val="24"/>
          <w:szCs w:val="24"/>
        </w:rPr>
        <w:t>s</w:t>
      </w:r>
      <w:r w:rsidR="009117B8">
        <w:rPr>
          <w:sz w:val="24"/>
          <w:szCs w:val="24"/>
        </w:rPr>
        <w:t xml:space="preserve"> </w:t>
      </w:r>
      <w:r w:rsidR="00DB7880">
        <w:rPr>
          <w:sz w:val="24"/>
          <w:szCs w:val="24"/>
        </w:rPr>
        <w:t>Schriftstellerexils</w:t>
      </w:r>
      <w:r w:rsidR="00CC379E">
        <w:rPr>
          <w:sz w:val="24"/>
          <w:szCs w:val="24"/>
        </w:rPr>
        <w:t xml:space="preserve"> bestand eine deutliche</w:t>
      </w:r>
      <w:r w:rsidR="009117B8">
        <w:rPr>
          <w:sz w:val="24"/>
          <w:szCs w:val="24"/>
        </w:rPr>
        <w:t xml:space="preserve"> Kluft zwischen den konserv</w:t>
      </w:r>
      <w:r w:rsidR="009117B8">
        <w:rPr>
          <w:sz w:val="24"/>
          <w:szCs w:val="24"/>
        </w:rPr>
        <w:t>a</w:t>
      </w:r>
      <w:r w:rsidR="009117B8">
        <w:rPr>
          <w:sz w:val="24"/>
          <w:szCs w:val="24"/>
        </w:rPr>
        <w:t xml:space="preserve">tiveren, ‚bürgerlichen‘ Autoren und den – nach </w:t>
      </w:r>
      <w:r w:rsidR="007D2411">
        <w:rPr>
          <w:sz w:val="24"/>
          <w:szCs w:val="24"/>
        </w:rPr>
        <w:t>ihr</w:t>
      </w:r>
      <w:r w:rsidR="009117B8">
        <w:rPr>
          <w:sz w:val="24"/>
          <w:szCs w:val="24"/>
        </w:rPr>
        <w:t xml:space="preserve">er Herkunft – </w:t>
      </w:r>
      <w:r w:rsidR="00CA7424">
        <w:rPr>
          <w:sz w:val="24"/>
          <w:szCs w:val="24"/>
        </w:rPr>
        <w:t xml:space="preserve">zumeist </w:t>
      </w:r>
      <w:r w:rsidR="009117B8" w:rsidRPr="00CA7424">
        <w:rPr>
          <w:sz w:val="24"/>
          <w:szCs w:val="24"/>
        </w:rPr>
        <w:t xml:space="preserve">ebenfalls </w:t>
      </w:r>
      <w:r w:rsidR="009117B8">
        <w:rPr>
          <w:sz w:val="24"/>
          <w:szCs w:val="24"/>
        </w:rPr>
        <w:t>‚bürgerl</w:t>
      </w:r>
      <w:r w:rsidR="009117B8">
        <w:rPr>
          <w:sz w:val="24"/>
          <w:szCs w:val="24"/>
        </w:rPr>
        <w:t>i</w:t>
      </w:r>
      <w:r w:rsidR="009117B8">
        <w:rPr>
          <w:sz w:val="24"/>
          <w:szCs w:val="24"/>
        </w:rPr>
        <w:t xml:space="preserve">chen‘, jedoch </w:t>
      </w:r>
      <w:r w:rsidR="009117B8" w:rsidRPr="00DB7880">
        <w:rPr>
          <w:sz w:val="24"/>
          <w:szCs w:val="24"/>
        </w:rPr>
        <w:t>parteigebundenen</w:t>
      </w:r>
      <w:r w:rsidR="009117B8">
        <w:rPr>
          <w:sz w:val="24"/>
          <w:szCs w:val="24"/>
        </w:rPr>
        <w:t xml:space="preserve">, also </w:t>
      </w:r>
      <w:r w:rsidR="009117B8" w:rsidRPr="00DB7880">
        <w:rPr>
          <w:i/>
          <w:sz w:val="24"/>
          <w:szCs w:val="24"/>
        </w:rPr>
        <w:t>kommunistischen</w:t>
      </w:r>
      <w:r w:rsidR="009117B8">
        <w:rPr>
          <w:sz w:val="24"/>
          <w:szCs w:val="24"/>
        </w:rPr>
        <w:t xml:space="preserve"> Autoren</w:t>
      </w:r>
      <w:r w:rsidR="00CC379E">
        <w:rPr>
          <w:sz w:val="24"/>
          <w:szCs w:val="24"/>
        </w:rPr>
        <w:t>.</w:t>
      </w:r>
      <w:r w:rsidR="009117B8">
        <w:rPr>
          <w:sz w:val="24"/>
          <w:szCs w:val="24"/>
        </w:rPr>
        <w:t xml:space="preserve"> </w:t>
      </w:r>
      <w:r w:rsidR="0017712B">
        <w:rPr>
          <w:sz w:val="24"/>
          <w:szCs w:val="24"/>
        </w:rPr>
        <w:t xml:space="preserve">Es </w:t>
      </w:r>
      <w:r w:rsidR="00C075BF">
        <w:rPr>
          <w:sz w:val="24"/>
          <w:szCs w:val="24"/>
        </w:rPr>
        <w:t>machte</w:t>
      </w:r>
      <w:r w:rsidR="0017712B">
        <w:rPr>
          <w:sz w:val="24"/>
          <w:szCs w:val="24"/>
        </w:rPr>
        <w:t xml:space="preserve"> ein</w:t>
      </w:r>
      <w:r w:rsidR="00C075BF">
        <w:rPr>
          <w:sz w:val="24"/>
          <w:szCs w:val="24"/>
        </w:rPr>
        <w:t>en</w:t>
      </w:r>
      <w:r w:rsidR="0017712B">
        <w:rPr>
          <w:sz w:val="24"/>
          <w:szCs w:val="24"/>
        </w:rPr>
        <w:t xml:space="preserve"> grundl</w:t>
      </w:r>
      <w:r w:rsidR="0017712B">
        <w:rPr>
          <w:sz w:val="24"/>
          <w:szCs w:val="24"/>
        </w:rPr>
        <w:t>e</w:t>
      </w:r>
      <w:r w:rsidR="0017712B">
        <w:rPr>
          <w:sz w:val="24"/>
          <w:szCs w:val="24"/>
        </w:rPr>
        <w:t>gende</w:t>
      </w:r>
      <w:r w:rsidR="00C075BF">
        <w:rPr>
          <w:sz w:val="24"/>
          <w:szCs w:val="24"/>
        </w:rPr>
        <w:t>n</w:t>
      </w:r>
      <w:r w:rsidR="0017712B">
        <w:rPr>
          <w:sz w:val="24"/>
          <w:szCs w:val="24"/>
        </w:rPr>
        <w:t xml:space="preserve"> Unterschied</w:t>
      </w:r>
      <w:r w:rsidR="00C075BF">
        <w:rPr>
          <w:sz w:val="24"/>
          <w:szCs w:val="24"/>
        </w:rPr>
        <w:t xml:space="preserve"> aus</w:t>
      </w:r>
      <w:r w:rsidR="0017712B">
        <w:rPr>
          <w:sz w:val="24"/>
          <w:szCs w:val="24"/>
        </w:rPr>
        <w:t xml:space="preserve">, ob man der Sowjetunion </w:t>
      </w:r>
      <w:r w:rsidR="0017712B" w:rsidRPr="00C075BF">
        <w:rPr>
          <w:i/>
          <w:sz w:val="24"/>
          <w:szCs w:val="24"/>
        </w:rPr>
        <w:t>mit Sympathie</w:t>
      </w:r>
      <w:r w:rsidR="0017712B">
        <w:rPr>
          <w:sz w:val="24"/>
          <w:szCs w:val="24"/>
        </w:rPr>
        <w:t xml:space="preserve"> begegnete und </w:t>
      </w:r>
      <w:r w:rsidR="00CC379E">
        <w:rPr>
          <w:sz w:val="24"/>
          <w:szCs w:val="24"/>
        </w:rPr>
        <w:t xml:space="preserve">damit </w:t>
      </w:r>
      <w:r w:rsidR="00C075BF">
        <w:rPr>
          <w:sz w:val="24"/>
          <w:szCs w:val="24"/>
        </w:rPr>
        <w:t xml:space="preserve">die </w:t>
      </w:r>
      <w:r w:rsidR="0017712B">
        <w:rPr>
          <w:sz w:val="24"/>
          <w:szCs w:val="24"/>
        </w:rPr>
        <w:t xml:space="preserve">Hoffnung auf </w:t>
      </w:r>
      <w:r w:rsidR="00CC379E">
        <w:rPr>
          <w:sz w:val="24"/>
          <w:szCs w:val="24"/>
        </w:rPr>
        <w:t>eine erfolgreiche Weiterentwicklung der</w:t>
      </w:r>
      <w:r w:rsidR="0017712B">
        <w:rPr>
          <w:sz w:val="24"/>
          <w:szCs w:val="24"/>
        </w:rPr>
        <w:t xml:space="preserve"> Sowjetunion </w:t>
      </w:r>
      <w:r w:rsidR="00CC379E">
        <w:rPr>
          <w:sz w:val="24"/>
          <w:szCs w:val="24"/>
        </w:rPr>
        <w:t xml:space="preserve">verband, </w:t>
      </w:r>
      <w:r w:rsidR="00CC379E" w:rsidRPr="00CA7424">
        <w:rPr>
          <w:i/>
          <w:sz w:val="24"/>
          <w:szCs w:val="24"/>
        </w:rPr>
        <w:t>selber</w:t>
      </w:r>
      <w:r w:rsidR="00CC379E">
        <w:rPr>
          <w:sz w:val="24"/>
          <w:szCs w:val="24"/>
        </w:rPr>
        <w:t xml:space="preserve"> aber </w:t>
      </w:r>
      <w:r w:rsidR="00CA7424">
        <w:rPr>
          <w:sz w:val="24"/>
          <w:szCs w:val="24"/>
        </w:rPr>
        <w:t>die Republik und ein Mehrparteiensystem befürwortete,</w:t>
      </w:r>
      <w:r w:rsidR="0017712B">
        <w:rPr>
          <w:sz w:val="24"/>
          <w:szCs w:val="24"/>
        </w:rPr>
        <w:t xml:space="preserve"> oder ob man </w:t>
      </w:r>
      <w:r w:rsidR="00C075BF">
        <w:rPr>
          <w:sz w:val="24"/>
          <w:szCs w:val="24"/>
        </w:rPr>
        <w:t xml:space="preserve">stattdessen </w:t>
      </w:r>
      <w:r w:rsidR="0017712B">
        <w:rPr>
          <w:sz w:val="24"/>
          <w:szCs w:val="24"/>
        </w:rPr>
        <w:t>ein „Rät</w:t>
      </w:r>
      <w:r w:rsidR="0017712B">
        <w:rPr>
          <w:sz w:val="24"/>
          <w:szCs w:val="24"/>
        </w:rPr>
        <w:t>e</w:t>
      </w:r>
      <w:r w:rsidR="0017712B">
        <w:rPr>
          <w:sz w:val="24"/>
          <w:szCs w:val="24"/>
        </w:rPr>
        <w:t xml:space="preserve">deutschland“ nach sowjetischem Muster anstrebte. </w:t>
      </w:r>
      <w:r w:rsidR="000967EA">
        <w:rPr>
          <w:sz w:val="24"/>
          <w:szCs w:val="24"/>
        </w:rPr>
        <w:t>Der Begriff „Antifaschismus“ verschleie</w:t>
      </w:r>
      <w:r w:rsidR="000967EA">
        <w:rPr>
          <w:sz w:val="24"/>
          <w:szCs w:val="24"/>
        </w:rPr>
        <w:t>r</w:t>
      </w:r>
      <w:r w:rsidR="000967EA">
        <w:rPr>
          <w:sz w:val="24"/>
          <w:szCs w:val="24"/>
        </w:rPr>
        <w:t xml:space="preserve">te diese Gegensätze. </w:t>
      </w:r>
      <w:r w:rsidR="00DB7880">
        <w:rPr>
          <w:sz w:val="24"/>
          <w:szCs w:val="24"/>
        </w:rPr>
        <w:t xml:space="preserve">Er verdeckte </w:t>
      </w:r>
      <w:r w:rsidR="00C075BF">
        <w:rPr>
          <w:sz w:val="24"/>
          <w:szCs w:val="24"/>
        </w:rPr>
        <w:t xml:space="preserve">auch </w:t>
      </w:r>
      <w:r w:rsidR="00DB7880">
        <w:rPr>
          <w:sz w:val="24"/>
          <w:szCs w:val="24"/>
        </w:rPr>
        <w:t>die politische Schwäche des Schriftstellerexils</w:t>
      </w:r>
      <w:r w:rsidR="00CA7424">
        <w:rPr>
          <w:sz w:val="24"/>
          <w:szCs w:val="24"/>
        </w:rPr>
        <w:t>.</w:t>
      </w:r>
      <w:r w:rsidR="001439C2">
        <w:rPr>
          <w:sz w:val="24"/>
          <w:szCs w:val="24"/>
        </w:rPr>
        <w:t xml:space="preserve"> Er suggerierte </w:t>
      </w:r>
      <w:r w:rsidR="00C075BF">
        <w:rPr>
          <w:sz w:val="24"/>
          <w:szCs w:val="24"/>
        </w:rPr>
        <w:t xml:space="preserve">eine </w:t>
      </w:r>
      <w:r w:rsidR="001439C2">
        <w:rPr>
          <w:sz w:val="24"/>
          <w:szCs w:val="24"/>
        </w:rPr>
        <w:t>Gemeinsamkeit „mit einem starken politischen Partner“</w:t>
      </w:r>
      <w:r w:rsidR="00C075BF">
        <w:rPr>
          <w:sz w:val="24"/>
          <w:szCs w:val="24"/>
        </w:rPr>
        <w:t>, der</w:t>
      </w:r>
      <w:r w:rsidR="001439C2">
        <w:rPr>
          <w:sz w:val="24"/>
          <w:szCs w:val="24"/>
        </w:rPr>
        <w:t xml:space="preserve"> Sowjetunion</w:t>
      </w:r>
      <w:r w:rsidR="00C075BF">
        <w:rPr>
          <w:sz w:val="24"/>
          <w:szCs w:val="24"/>
        </w:rPr>
        <w:t>, die in Wahrheit in dieser Form nicht bestand</w:t>
      </w:r>
      <w:r w:rsidR="001439C2">
        <w:rPr>
          <w:sz w:val="24"/>
          <w:szCs w:val="24"/>
        </w:rPr>
        <w:t>.</w:t>
      </w:r>
    </w:p>
    <w:p w:rsidR="00255383" w:rsidRDefault="003D79AC" w:rsidP="001D2105">
      <w:pPr>
        <w:spacing w:after="0"/>
        <w:ind w:firstLine="708"/>
        <w:jc w:val="both"/>
        <w:rPr>
          <w:sz w:val="24"/>
          <w:szCs w:val="24"/>
        </w:rPr>
      </w:pPr>
      <w:r>
        <w:rPr>
          <w:sz w:val="24"/>
          <w:szCs w:val="24"/>
        </w:rPr>
        <w:t xml:space="preserve">Die Folge war, dass das </w:t>
      </w:r>
      <w:r w:rsidR="00255383">
        <w:rPr>
          <w:sz w:val="24"/>
          <w:szCs w:val="24"/>
        </w:rPr>
        <w:t>Schriftsteller</w:t>
      </w:r>
      <w:r>
        <w:rPr>
          <w:sz w:val="24"/>
          <w:szCs w:val="24"/>
        </w:rPr>
        <w:t xml:space="preserve">exil </w:t>
      </w:r>
      <w:r w:rsidR="00255383">
        <w:rPr>
          <w:sz w:val="24"/>
          <w:szCs w:val="24"/>
        </w:rPr>
        <w:t>i</w:t>
      </w:r>
      <w:r>
        <w:rPr>
          <w:sz w:val="24"/>
          <w:szCs w:val="24"/>
        </w:rPr>
        <w:t>n den</w:t>
      </w:r>
      <w:r w:rsidR="00255383">
        <w:rPr>
          <w:sz w:val="24"/>
          <w:szCs w:val="24"/>
        </w:rPr>
        <w:t xml:space="preserve"> Schnittpunkt divergierender polit</w:t>
      </w:r>
      <w:r w:rsidR="00255383">
        <w:rPr>
          <w:sz w:val="24"/>
          <w:szCs w:val="24"/>
        </w:rPr>
        <w:t>i</w:t>
      </w:r>
      <w:r w:rsidR="00255383">
        <w:rPr>
          <w:sz w:val="24"/>
          <w:szCs w:val="24"/>
        </w:rPr>
        <w:t>scher Interessen</w:t>
      </w:r>
      <w:r>
        <w:rPr>
          <w:sz w:val="24"/>
          <w:szCs w:val="24"/>
        </w:rPr>
        <w:t xml:space="preserve"> geriet</w:t>
      </w:r>
      <w:r w:rsidR="00255383">
        <w:rPr>
          <w:sz w:val="24"/>
          <w:szCs w:val="24"/>
        </w:rPr>
        <w:t xml:space="preserve">. </w:t>
      </w:r>
      <w:r w:rsidR="0017712B">
        <w:rPr>
          <w:sz w:val="24"/>
          <w:szCs w:val="24"/>
        </w:rPr>
        <w:t>I</w:t>
      </w:r>
      <w:r w:rsidR="00255383">
        <w:rPr>
          <w:sz w:val="24"/>
          <w:szCs w:val="24"/>
        </w:rPr>
        <w:t xml:space="preserve">nsbesondere die KPD </w:t>
      </w:r>
      <w:r w:rsidR="007D2411">
        <w:rPr>
          <w:sz w:val="24"/>
          <w:szCs w:val="24"/>
        </w:rPr>
        <w:t>war bemüht</w:t>
      </w:r>
      <w:r w:rsidR="00255383">
        <w:rPr>
          <w:sz w:val="24"/>
          <w:szCs w:val="24"/>
        </w:rPr>
        <w:t>, die Autorität der Schriftsteller für ihre Zwecke</w:t>
      </w:r>
      <w:r>
        <w:rPr>
          <w:sz w:val="24"/>
          <w:szCs w:val="24"/>
        </w:rPr>
        <w:t xml:space="preserve">, also für </w:t>
      </w:r>
      <w:r w:rsidR="00255383">
        <w:rPr>
          <w:sz w:val="24"/>
          <w:szCs w:val="24"/>
        </w:rPr>
        <w:t>die eigene polit</w:t>
      </w:r>
      <w:r>
        <w:rPr>
          <w:sz w:val="24"/>
          <w:szCs w:val="24"/>
        </w:rPr>
        <w:t>ische</w:t>
      </w:r>
      <w:r w:rsidR="00255383">
        <w:rPr>
          <w:sz w:val="24"/>
          <w:szCs w:val="24"/>
        </w:rPr>
        <w:t xml:space="preserve"> Arbeit und deren Zielsetzungen</w:t>
      </w:r>
      <w:r>
        <w:rPr>
          <w:sz w:val="24"/>
          <w:szCs w:val="24"/>
        </w:rPr>
        <w:t>,</w:t>
      </w:r>
      <w:r w:rsidR="00255383">
        <w:rPr>
          <w:sz w:val="24"/>
          <w:szCs w:val="24"/>
        </w:rPr>
        <w:t xml:space="preserve"> zu reklamieren.</w:t>
      </w:r>
      <w:r>
        <w:rPr>
          <w:sz w:val="24"/>
          <w:szCs w:val="24"/>
        </w:rPr>
        <w:t xml:space="preserve"> Kurzfristig war dieses </w:t>
      </w:r>
      <w:r w:rsidR="007D2411">
        <w:rPr>
          <w:sz w:val="24"/>
          <w:szCs w:val="24"/>
        </w:rPr>
        <w:t>Bestreb</w:t>
      </w:r>
      <w:r>
        <w:rPr>
          <w:sz w:val="24"/>
          <w:szCs w:val="24"/>
        </w:rPr>
        <w:t xml:space="preserve">en </w:t>
      </w:r>
      <w:r w:rsidR="00574628">
        <w:rPr>
          <w:sz w:val="24"/>
          <w:szCs w:val="24"/>
        </w:rPr>
        <w:t xml:space="preserve">durchaus </w:t>
      </w:r>
      <w:r w:rsidR="007D2411">
        <w:rPr>
          <w:sz w:val="24"/>
          <w:szCs w:val="24"/>
        </w:rPr>
        <w:t>von</w:t>
      </w:r>
      <w:r w:rsidR="00574628">
        <w:rPr>
          <w:sz w:val="24"/>
          <w:szCs w:val="24"/>
        </w:rPr>
        <w:t xml:space="preserve"> Vorteil</w:t>
      </w:r>
      <w:r w:rsidR="007D2411">
        <w:rPr>
          <w:sz w:val="24"/>
          <w:szCs w:val="24"/>
        </w:rPr>
        <w:t xml:space="preserve"> </w:t>
      </w:r>
      <w:r w:rsidR="009117B8">
        <w:rPr>
          <w:sz w:val="24"/>
          <w:szCs w:val="24"/>
        </w:rPr>
        <w:t>für d</w:t>
      </w:r>
      <w:r w:rsidR="00CA7424">
        <w:rPr>
          <w:sz w:val="24"/>
          <w:szCs w:val="24"/>
        </w:rPr>
        <w:t xml:space="preserve">as </w:t>
      </w:r>
      <w:r w:rsidR="009117B8">
        <w:rPr>
          <w:sz w:val="24"/>
          <w:szCs w:val="24"/>
        </w:rPr>
        <w:t>Schriftstellerexil</w:t>
      </w:r>
      <w:r w:rsidR="00846750">
        <w:rPr>
          <w:sz w:val="24"/>
          <w:szCs w:val="24"/>
        </w:rPr>
        <w:t xml:space="preserve">, da </w:t>
      </w:r>
      <w:r w:rsidR="001439C2">
        <w:rPr>
          <w:sz w:val="24"/>
          <w:szCs w:val="24"/>
        </w:rPr>
        <w:t>die het</w:t>
      </w:r>
      <w:r w:rsidR="001439C2">
        <w:rPr>
          <w:sz w:val="24"/>
          <w:szCs w:val="24"/>
        </w:rPr>
        <w:t>e</w:t>
      </w:r>
      <w:r w:rsidR="001439C2">
        <w:rPr>
          <w:sz w:val="24"/>
          <w:szCs w:val="24"/>
        </w:rPr>
        <w:t xml:space="preserve">rogen strukturierte Gruppe </w:t>
      </w:r>
      <w:r w:rsidR="00485959">
        <w:rPr>
          <w:sz w:val="24"/>
          <w:szCs w:val="24"/>
        </w:rPr>
        <w:t xml:space="preserve">auf diese Weise </w:t>
      </w:r>
      <w:r w:rsidR="00574628">
        <w:rPr>
          <w:sz w:val="24"/>
          <w:szCs w:val="24"/>
        </w:rPr>
        <w:t xml:space="preserve">stärker denn je </w:t>
      </w:r>
      <w:r w:rsidR="00846750" w:rsidRPr="00485959">
        <w:rPr>
          <w:i/>
          <w:sz w:val="24"/>
          <w:szCs w:val="24"/>
        </w:rPr>
        <w:t>als Einheit</w:t>
      </w:r>
      <w:r w:rsidR="00846750">
        <w:rPr>
          <w:sz w:val="24"/>
          <w:szCs w:val="24"/>
        </w:rPr>
        <w:t>, als Träger einer g</w:t>
      </w:r>
      <w:r w:rsidR="00846750">
        <w:rPr>
          <w:sz w:val="24"/>
          <w:szCs w:val="24"/>
        </w:rPr>
        <w:t>e</w:t>
      </w:r>
      <w:r w:rsidR="00846750">
        <w:rPr>
          <w:sz w:val="24"/>
          <w:szCs w:val="24"/>
        </w:rPr>
        <w:t xml:space="preserve">meinsamen politischen Anstrengung, </w:t>
      </w:r>
      <w:r w:rsidR="00CA7424">
        <w:rPr>
          <w:sz w:val="24"/>
          <w:szCs w:val="24"/>
        </w:rPr>
        <w:t>in Erscheinung trat</w:t>
      </w:r>
      <w:r w:rsidR="00846750">
        <w:rPr>
          <w:sz w:val="24"/>
          <w:szCs w:val="24"/>
        </w:rPr>
        <w:t xml:space="preserve">. </w:t>
      </w:r>
      <w:r w:rsidR="003C460F">
        <w:rPr>
          <w:sz w:val="24"/>
          <w:szCs w:val="24"/>
        </w:rPr>
        <w:t xml:space="preserve">Zudem war das „antifaschistische Engagement“ mit </w:t>
      </w:r>
      <w:r w:rsidR="001439C2">
        <w:rPr>
          <w:sz w:val="24"/>
          <w:szCs w:val="24"/>
        </w:rPr>
        <w:t>spektakulär</w:t>
      </w:r>
      <w:r w:rsidR="003C460F">
        <w:rPr>
          <w:sz w:val="24"/>
          <w:szCs w:val="24"/>
        </w:rPr>
        <w:t xml:space="preserve">en Aktionen: mit Deklarationen und Kongressen, </w:t>
      </w:r>
      <w:r w:rsidR="001439C2">
        <w:rPr>
          <w:sz w:val="24"/>
          <w:szCs w:val="24"/>
        </w:rPr>
        <w:t>also öffentl</w:t>
      </w:r>
      <w:r w:rsidR="001439C2">
        <w:rPr>
          <w:sz w:val="24"/>
          <w:szCs w:val="24"/>
        </w:rPr>
        <w:t>i</w:t>
      </w:r>
      <w:r w:rsidR="001439C2">
        <w:rPr>
          <w:sz w:val="24"/>
          <w:szCs w:val="24"/>
        </w:rPr>
        <w:t xml:space="preserve">chen Auftritten, </w:t>
      </w:r>
      <w:r w:rsidR="003C460F">
        <w:rPr>
          <w:sz w:val="24"/>
          <w:szCs w:val="24"/>
        </w:rPr>
        <w:t xml:space="preserve">verbunden. </w:t>
      </w:r>
      <w:r w:rsidR="00846750">
        <w:rPr>
          <w:sz w:val="24"/>
          <w:szCs w:val="24"/>
        </w:rPr>
        <w:t xml:space="preserve">Langfristig war es jedoch verhängnisvoll, weil </w:t>
      </w:r>
      <w:r w:rsidR="00291B33">
        <w:rPr>
          <w:sz w:val="24"/>
          <w:szCs w:val="24"/>
        </w:rPr>
        <w:t xml:space="preserve">die Gegensätze innerhalb der Gruppe der Exilschriftsteller </w:t>
      </w:r>
      <w:r w:rsidR="00574628">
        <w:rPr>
          <w:sz w:val="24"/>
          <w:szCs w:val="24"/>
        </w:rPr>
        <w:t xml:space="preserve">durch </w:t>
      </w:r>
      <w:r w:rsidR="00846750">
        <w:rPr>
          <w:sz w:val="24"/>
          <w:szCs w:val="24"/>
        </w:rPr>
        <w:t xml:space="preserve">die </w:t>
      </w:r>
      <w:r w:rsidR="00574628">
        <w:rPr>
          <w:sz w:val="24"/>
          <w:szCs w:val="24"/>
        </w:rPr>
        <w:t xml:space="preserve">Abhängigkeit </w:t>
      </w:r>
      <w:r w:rsidR="00291B33">
        <w:rPr>
          <w:sz w:val="24"/>
          <w:szCs w:val="24"/>
        </w:rPr>
        <w:t xml:space="preserve">speziell </w:t>
      </w:r>
      <w:r w:rsidR="00574628">
        <w:rPr>
          <w:sz w:val="24"/>
          <w:szCs w:val="24"/>
        </w:rPr>
        <w:t xml:space="preserve">der </w:t>
      </w:r>
      <w:r w:rsidR="00485959">
        <w:rPr>
          <w:sz w:val="24"/>
          <w:szCs w:val="24"/>
        </w:rPr>
        <w:t>KPD</w:t>
      </w:r>
      <w:r w:rsidR="00D630D8">
        <w:rPr>
          <w:sz w:val="24"/>
          <w:szCs w:val="24"/>
        </w:rPr>
        <w:t xml:space="preserve"> </w:t>
      </w:r>
      <w:r w:rsidR="000967EA">
        <w:rPr>
          <w:sz w:val="24"/>
          <w:szCs w:val="24"/>
        </w:rPr>
        <w:t>von der sowjetischen P</w:t>
      </w:r>
      <w:r w:rsidR="007D2411">
        <w:rPr>
          <w:sz w:val="24"/>
          <w:szCs w:val="24"/>
        </w:rPr>
        <w:t>olitik</w:t>
      </w:r>
      <w:r w:rsidR="000967EA">
        <w:rPr>
          <w:sz w:val="24"/>
          <w:szCs w:val="24"/>
        </w:rPr>
        <w:t xml:space="preserve"> und </w:t>
      </w:r>
      <w:r w:rsidR="00291B33">
        <w:rPr>
          <w:sz w:val="24"/>
          <w:szCs w:val="24"/>
        </w:rPr>
        <w:t>der</w:t>
      </w:r>
      <w:r w:rsidR="007D2411">
        <w:rPr>
          <w:sz w:val="24"/>
          <w:szCs w:val="24"/>
        </w:rPr>
        <w:t>en</w:t>
      </w:r>
      <w:r w:rsidR="000967EA">
        <w:rPr>
          <w:sz w:val="24"/>
          <w:szCs w:val="24"/>
        </w:rPr>
        <w:t xml:space="preserve"> </w:t>
      </w:r>
      <w:r w:rsidR="00485959">
        <w:rPr>
          <w:sz w:val="24"/>
          <w:szCs w:val="24"/>
        </w:rPr>
        <w:t xml:space="preserve">Zielsetzungen </w:t>
      </w:r>
      <w:r w:rsidR="00846750">
        <w:rPr>
          <w:sz w:val="24"/>
          <w:szCs w:val="24"/>
        </w:rPr>
        <w:t>verstärkt wurden.</w:t>
      </w:r>
      <w:r w:rsidR="00D630D8">
        <w:rPr>
          <w:sz w:val="24"/>
          <w:szCs w:val="24"/>
        </w:rPr>
        <w:t xml:space="preserve"> </w:t>
      </w:r>
      <w:r w:rsidR="00CA7424">
        <w:rPr>
          <w:sz w:val="24"/>
          <w:szCs w:val="24"/>
        </w:rPr>
        <w:t>D</w:t>
      </w:r>
      <w:r w:rsidR="00291B33">
        <w:rPr>
          <w:sz w:val="24"/>
          <w:szCs w:val="24"/>
        </w:rPr>
        <w:t>ie Konflikte</w:t>
      </w:r>
      <w:r w:rsidR="00CA7424">
        <w:rPr>
          <w:sz w:val="24"/>
          <w:szCs w:val="24"/>
        </w:rPr>
        <w:t xml:space="preserve"> </w:t>
      </w:r>
      <w:r w:rsidR="00291B33">
        <w:rPr>
          <w:sz w:val="24"/>
          <w:szCs w:val="24"/>
        </w:rPr>
        <w:t>begannen</w:t>
      </w:r>
      <w:r w:rsidR="00CA7424">
        <w:rPr>
          <w:sz w:val="24"/>
          <w:szCs w:val="24"/>
        </w:rPr>
        <w:t xml:space="preserve"> mit dem Streit um „Tro</w:t>
      </w:r>
      <w:r w:rsidR="003C460F">
        <w:rPr>
          <w:sz w:val="24"/>
          <w:szCs w:val="24"/>
        </w:rPr>
        <w:t>t</w:t>
      </w:r>
      <w:r w:rsidR="00CA7424">
        <w:rPr>
          <w:sz w:val="24"/>
          <w:szCs w:val="24"/>
        </w:rPr>
        <w:t>zkisten“ wie Victor Serge</w:t>
      </w:r>
      <w:r w:rsidR="001439C2">
        <w:rPr>
          <w:sz w:val="24"/>
          <w:szCs w:val="24"/>
        </w:rPr>
        <w:t xml:space="preserve"> und andere Dissidenten</w:t>
      </w:r>
      <w:r w:rsidR="003D25C7">
        <w:rPr>
          <w:rStyle w:val="Funotenzeichen"/>
          <w:sz w:val="24"/>
          <w:szCs w:val="24"/>
        </w:rPr>
        <w:footnoteReference w:id="26"/>
      </w:r>
      <w:r w:rsidR="00CA7424">
        <w:rPr>
          <w:sz w:val="24"/>
          <w:szCs w:val="24"/>
        </w:rPr>
        <w:t xml:space="preserve"> </w:t>
      </w:r>
      <w:r w:rsidR="003C460F">
        <w:rPr>
          <w:sz w:val="24"/>
          <w:szCs w:val="24"/>
        </w:rPr>
        <w:t>und setzte</w:t>
      </w:r>
      <w:r w:rsidR="00291B33">
        <w:rPr>
          <w:sz w:val="24"/>
          <w:szCs w:val="24"/>
        </w:rPr>
        <w:t>n</w:t>
      </w:r>
      <w:r w:rsidR="003C460F">
        <w:rPr>
          <w:sz w:val="24"/>
          <w:szCs w:val="24"/>
        </w:rPr>
        <w:t xml:space="preserve"> sich in </w:t>
      </w:r>
      <w:r w:rsidR="00291B33">
        <w:rPr>
          <w:sz w:val="24"/>
          <w:szCs w:val="24"/>
        </w:rPr>
        <w:t>der Beurteilung der</w:t>
      </w:r>
      <w:r w:rsidR="003C460F">
        <w:rPr>
          <w:sz w:val="24"/>
          <w:szCs w:val="24"/>
        </w:rPr>
        <w:t xml:space="preserve"> „Moskauer Prozessen“ bzw. de</w:t>
      </w:r>
      <w:r w:rsidR="00291B33">
        <w:rPr>
          <w:sz w:val="24"/>
          <w:szCs w:val="24"/>
        </w:rPr>
        <w:t>r</w:t>
      </w:r>
      <w:r w:rsidR="003C460F">
        <w:rPr>
          <w:sz w:val="24"/>
          <w:szCs w:val="24"/>
        </w:rPr>
        <w:t xml:space="preserve"> </w:t>
      </w:r>
      <w:r w:rsidR="001439C2">
        <w:rPr>
          <w:sz w:val="24"/>
          <w:szCs w:val="24"/>
        </w:rPr>
        <w:t xml:space="preserve">stalinistischen </w:t>
      </w:r>
      <w:r w:rsidR="003C460F">
        <w:rPr>
          <w:sz w:val="24"/>
          <w:szCs w:val="24"/>
        </w:rPr>
        <w:t>„Säuberungen“</w:t>
      </w:r>
      <w:r w:rsidR="009F09F5">
        <w:rPr>
          <w:rStyle w:val="Funotenzeichen"/>
          <w:sz w:val="24"/>
          <w:szCs w:val="24"/>
        </w:rPr>
        <w:footnoteReference w:id="27"/>
      </w:r>
      <w:r w:rsidR="003C460F">
        <w:rPr>
          <w:sz w:val="24"/>
          <w:szCs w:val="24"/>
        </w:rPr>
        <w:t xml:space="preserve"> fort. </w:t>
      </w:r>
      <w:r w:rsidR="00D630D8">
        <w:rPr>
          <w:sz w:val="24"/>
          <w:szCs w:val="24"/>
        </w:rPr>
        <w:t>Den Schlusspunkt dieser Entwicklung bildete eine Katastrophe: der deutsch-sowjetische Nichta</w:t>
      </w:r>
      <w:r w:rsidR="00D630D8">
        <w:rPr>
          <w:sz w:val="24"/>
          <w:szCs w:val="24"/>
        </w:rPr>
        <w:t>n</w:t>
      </w:r>
      <w:r w:rsidR="00D630D8">
        <w:rPr>
          <w:sz w:val="24"/>
          <w:szCs w:val="24"/>
        </w:rPr>
        <w:t>griffspakt vom August 1939.</w:t>
      </w:r>
    </w:p>
    <w:p w:rsidR="000118B1" w:rsidRDefault="000118B1" w:rsidP="001D2105">
      <w:pPr>
        <w:spacing w:after="0"/>
        <w:ind w:firstLine="708"/>
        <w:jc w:val="both"/>
        <w:rPr>
          <w:sz w:val="24"/>
          <w:szCs w:val="24"/>
        </w:rPr>
      </w:pPr>
    </w:p>
    <w:p w:rsidR="00915597" w:rsidRDefault="00D630D8" w:rsidP="001D2105">
      <w:pPr>
        <w:spacing w:after="0"/>
        <w:ind w:firstLine="708"/>
        <w:jc w:val="both"/>
        <w:rPr>
          <w:sz w:val="24"/>
          <w:szCs w:val="24"/>
        </w:rPr>
      </w:pPr>
      <w:r>
        <w:rPr>
          <w:sz w:val="24"/>
          <w:szCs w:val="24"/>
        </w:rPr>
        <w:lastRenderedPageBreak/>
        <w:t xml:space="preserve">Das Werben um die deutschen Exilschriftsteller begann mit der Einladung </w:t>
      </w:r>
      <w:r w:rsidR="004760DF">
        <w:rPr>
          <w:sz w:val="24"/>
          <w:szCs w:val="24"/>
        </w:rPr>
        <w:t>einer A</w:t>
      </w:r>
      <w:r w:rsidR="004760DF">
        <w:rPr>
          <w:sz w:val="24"/>
          <w:szCs w:val="24"/>
        </w:rPr>
        <w:t>n</w:t>
      </w:r>
      <w:r w:rsidR="004760DF">
        <w:rPr>
          <w:sz w:val="24"/>
          <w:szCs w:val="24"/>
        </w:rPr>
        <w:t>zahl emigrierter deutschsprachiger Schriftsteller</w:t>
      </w:r>
      <w:r w:rsidR="004B2CCE">
        <w:rPr>
          <w:sz w:val="24"/>
          <w:szCs w:val="24"/>
        </w:rPr>
        <w:t xml:space="preserve"> zum Ersten Allunionskongress der Sowje</w:t>
      </w:r>
      <w:r w:rsidR="004B2CCE">
        <w:rPr>
          <w:sz w:val="24"/>
          <w:szCs w:val="24"/>
        </w:rPr>
        <w:t>t</w:t>
      </w:r>
      <w:r w:rsidR="004B2CCE">
        <w:rPr>
          <w:sz w:val="24"/>
          <w:szCs w:val="24"/>
        </w:rPr>
        <w:t>schriftsteller (17. August bis 1. September 1934) nach Moskau.</w:t>
      </w:r>
      <w:r w:rsidR="005B3B9C">
        <w:rPr>
          <w:rStyle w:val="Funotenzeichen"/>
          <w:sz w:val="24"/>
          <w:szCs w:val="24"/>
        </w:rPr>
        <w:footnoteReference w:id="28"/>
      </w:r>
      <w:r w:rsidR="004B2CCE">
        <w:rPr>
          <w:sz w:val="24"/>
          <w:szCs w:val="24"/>
        </w:rPr>
        <w:t xml:space="preserve"> </w:t>
      </w:r>
      <w:r w:rsidR="00DB64FA">
        <w:rPr>
          <w:sz w:val="24"/>
          <w:szCs w:val="24"/>
        </w:rPr>
        <w:t xml:space="preserve">Die Gruppe war heterogen zusammengesetzt. Sie enthielt KPD-Mitglieder wie Willi </w:t>
      </w:r>
      <w:proofErr w:type="spellStart"/>
      <w:r w:rsidR="00DB64FA">
        <w:rPr>
          <w:sz w:val="24"/>
          <w:szCs w:val="24"/>
        </w:rPr>
        <w:t>Bredel</w:t>
      </w:r>
      <w:proofErr w:type="spellEnd"/>
      <w:r w:rsidR="00DB64FA">
        <w:rPr>
          <w:sz w:val="24"/>
          <w:szCs w:val="24"/>
        </w:rPr>
        <w:t xml:space="preserve">, Johannes R. Becher, </w:t>
      </w:r>
      <w:r w:rsidR="0085530E">
        <w:rPr>
          <w:sz w:val="24"/>
          <w:szCs w:val="24"/>
        </w:rPr>
        <w:t xml:space="preserve">Gustav Regler, </w:t>
      </w:r>
      <w:r w:rsidR="00B77509">
        <w:rPr>
          <w:sz w:val="24"/>
          <w:szCs w:val="24"/>
        </w:rPr>
        <w:t xml:space="preserve">Adam Scharrer, </w:t>
      </w:r>
      <w:r w:rsidR="00DB64FA">
        <w:rPr>
          <w:sz w:val="24"/>
          <w:szCs w:val="24"/>
        </w:rPr>
        <w:t xml:space="preserve">Friedrich Wolf, </w:t>
      </w:r>
      <w:r w:rsidR="00B77509">
        <w:rPr>
          <w:sz w:val="24"/>
          <w:szCs w:val="24"/>
        </w:rPr>
        <w:t xml:space="preserve">F. C. </w:t>
      </w:r>
      <w:proofErr w:type="spellStart"/>
      <w:r w:rsidR="00B77509">
        <w:rPr>
          <w:sz w:val="24"/>
          <w:szCs w:val="24"/>
        </w:rPr>
        <w:t>Weiskopf</w:t>
      </w:r>
      <w:proofErr w:type="spellEnd"/>
      <w:r w:rsidR="00B77509">
        <w:rPr>
          <w:sz w:val="24"/>
          <w:szCs w:val="24"/>
        </w:rPr>
        <w:t xml:space="preserve"> – Becher </w:t>
      </w:r>
      <w:r w:rsidR="00D21B03">
        <w:rPr>
          <w:sz w:val="24"/>
          <w:szCs w:val="24"/>
        </w:rPr>
        <w:t xml:space="preserve">nahm an den Kongress </w:t>
      </w:r>
      <w:r w:rsidR="00B77509">
        <w:rPr>
          <w:sz w:val="24"/>
          <w:szCs w:val="24"/>
        </w:rPr>
        <w:t>als Vertreter der Wolgadeutschen Republik</w:t>
      </w:r>
      <w:r w:rsidR="00D21B03">
        <w:rPr>
          <w:sz w:val="24"/>
          <w:szCs w:val="24"/>
        </w:rPr>
        <w:t xml:space="preserve"> teil</w:t>
      </w:r>
      <w:r w:rsidR="00B77509">
        <w:rPr>
          <w:sz w:val="24"/>
          <w:szCs w:val="24"/>
        </w:rPr>
        <w:t xml:space="preserve">, </w:t>
      </w:r>
      <w:r w:rsidR="00D21B03">
        <w:rPr>
          <w:sz w:val="24"/>
          <w:szCs w:val="24"/>
        </w:rPr>
        <w:t xml:space="preserve">Friedrich </w:t>
      </w:r>
      <w:r w:rsidR="00B77509">
        <w:rPr>
          <w:sz w:val="24"/>
          <w:szCs w:val="24"/>
        </w:rPr>
        <w:t>Wolf als Mitglied der Moskauer Del</w:t>
      </w:r>
      <w:r w:rsidR="00B77509">
        <w:rPr>
          <w:sz w:val="24"/>
          <w:szCs w:val="24"/>
        </w:rPr>
        <w:t>e</w:t>
      </w:r>
      <w:r w:rsidR="00B77509">
        <w:rPr>
          <w:sz w:val="24"/>
          <w:szCs w:val="24"/>
        </w:rPr>
        <w:t xml:space="preserve">gation, </w:t>
      </w:r>
      <w:r w:rsidR="00D21B03">
        <w:rPr>
          <w:sz w:val="24"/>
          <w:szCs w:val="24"/>
        </w:rPr>
        <w:t xml:space="preserve">beide </w:t>
      </w:r>
      <w:r w:rsidR="00B77509">
        <w:rPr>
          <w:sz w:val="24"/>
          <w:szCs w:val="24"/>
        </w:rPr>
        <w:t>also als stimmberechtigte Delegierte –, der KPD</w:t>
      </w:r>
      <w:r w:rsidR="0085530E">
        <w:rPr>
          <w:sz w:val="24"/>
          <w:szCs w:val="24"/>
        </w:rPr>
        <w:t xml:space="preserve"> </w:t>
      </w:r>
      <w:r w:rsidR="00B77509">
        <w:rPr>
          <w:sz w:val="24"/>
          <w:szCs w:val="24"/>
        </w:rPr>
        <w:t>„nahestehende</w:t>
      </w:r>
      <w:r w:rsidR="0085530E">
        <w:rPr>
          <w:sz w:val="24"/>
          <w:szCs w:val="24"/>
        </w:rPr>
        <w:t xml:space="preserve">“ </w:t>
      </w:r>
      <w:r w:rsidR="005B753C">
        <w:rPr>
          <w:sz w:val="24"/>
          <w:szCs w:val="24"/>
        </w:rPr>
        <w:t>Persönlichke</w:t>
      </w:r>
      <w:r w:rsidR="005B753C">
        <w:rPr>
          <w:sz w:val="24"/>
          <w:szCs w:val="24"/>
        </w:rPr>
        <w:t>i</w:t>
      </w:r>
      <w:r w:rsidR="005B753C">
        <w:rPr>
          <w:sz w:val="24"/>
          <w:szCs w:val="24"/>
        </w:rPr>
        <w:t xml:space="preserve">ten </w:t>
      </w:r>
      <w:r w:rsidR="0085530E">
        <w:rPr>
          <w:sz w:val="24"/>
          <w:szCs w:val="24"/>
        </w:rPr>
        <w:t>wie Wieland Herzfelde</w:t>
      </w:r>
      <w:r w:rsidR="003C460F">
        <w:rPr>
          <w:sz w:val="24"/>
          <w:szCs w:val="24"/>
        </w:rPr>
        <w:t xml:space="preserve">, </w:t>
      </w:r>
      <w:proofErr w:type="spellStart"/>
      <w:r w:rsidR="003C460F">
        <w:rPr>
          <w:sz w:val="24"/>
          <w:szCs w:val="24"/>
        </w:rPr>
        <w:t>Balder</w:t>
      </w:r>
      <w:proofErr w:type="spellEnd"/>
      <w:r w:rsidR="003C460F">
        <w:rPr>
          <w:sz w:val="24"/>
          <w:szCs w:val="24"/>
        </w:rPr>
        <w:t xml:space="preserve"> </w:t>
      </w:r>
      <w:proofErr w:type="spellStart"/>
      <w:r w:rsidR="003C460F">
        <w:rPr>
          <w:sz w:val="24"/>
          <w:szCs w:val="24"/>
        </w:rPr>
        <w:t>Olden</w:t>
      </w:r>
      <w:proofErr w:type="spellEnd"/>
      <w:r w:rsidR="0085530E">
        <w:rPr>
          <w:sz w:val="24"/>
          <w:szCs w:val="24"/>
        </w:rPr>
        <w:t xml:space="preserve"> </w:t>
      </w:r>
      <w:r w:rsidR="003C460F">
        <w:rPr>
          <w:sz w:val="24"/>
          <w:szCs w:val="24"/>
        </w:rPr>
        <w:t xml:space="preserve">oder Theodor </w:t>
      </w:r>
      <w:proofErr w:type="spellStart"/>
      <w:r w:rsidR="003C460F">
        <w:rPr>
          <w:sz w:val="24"/>
          <w:szCs w:val="24"/>
        </w:rPr>
        <w:t>Plievier</w:t>
      </w:r>
      <w:proofErr w:type="spellEnd"/>
      <w:r w:rsidR="003C460F">
        <w:rPr>
          <w:sz w:val="24"/>
          <w:szCs w:val="24"/>
        </w:rPr>
        <w:t xml:space="preserve"> </w:t>
      </w:r>
      <w:r w:rsidR="0085530E">
        <w:rPr>
          <w:sz w:val="24"/>
          <w:szCs w:val="24"/>
        </w:rPr>
        <w:t xml:space="preserve">– wobei die Gruppe der </w:t>
      </w:r>
      <w:r w:rsidR="00D21B03">
        <w:rPr>
          <w:sz w:val="24"/>
          <w:szCs w:val="24"/>
        </w:rPr>
        <w:t>Pa</w:t>
      </w:r>
      <w:r w:rsidR="00D21B03">
        <w:rPr>
          <w:sz w:val="24"/>
          <w:szCs w:val="24"/>
        </w:rPr>
        <w:t>r</w:t>
      </w:r>
      <w:r w:rsidR="00D21B03">
        <w:rPr>
          <w:sz w:val="24"/>
          <w:szCs w:val="24"/>
        </w:rPr>
        <w:t>teim</w:t>
      </w:r>
      <w:r w:rsidR="0085530E">
        <w:rPr>
          <w:sz w:val="24"/>
          <w:szCs w:val="24"/>
        </w:rPr>
        <w:t xml:space="preserve">itglieder und die der der KPD ‚nahestehenden‘ Personen </w:t>
      </w:r>
      <w:r w:rsidR="003B40AC">
        <w:rPr>
          <w:sz w:val="24"/>
          <w:szCs w:val="24"/>
        </w:rPr>
        <w:t xml:space="preserve">sich </w:t>
      </w:r>
      <w:r w:rsidR="001439C2">
        <w:rPr>
          <w:sz w:val="24"/>
          <w:szCs w:val="24"/>
        </w:rPr>
        <w:t>üb</w:t>
      </w:r>
      <w:r w:rsidR="0085530E">
        <w:rPr>
          <w:sz w:val="24"/>
          <w:szCs w:val="24"/>
        </w:rPr>
        <w:t>erschni</w:t>
      </w:r>
      <w:r w:rsidR="00291B33">
        <w:rPr>
          <w:sz w:val="24"/>
          <w:szCs w:val="24"/>
        </w:rPr>
        <w:t>tt</w:t>
      </w:r>
      <w:r w:rsidR="0085530E">
        <w:rPr>
          <w:sz w:val="24"/>
          <w:szCs w:val="24"/>
        </w:rPr>
        <w:t>en</w:t>
      </w:r>
      <w:r w:rsidR="0085530E">
        <w:rPr>
          <w:rStyle w:val="Funotenzeichen"/>
          <w:sz w:val="24"/>
          <w:szCs w:val="24"/>
        </w:rPr>
        <w:footnoteReference w:id="29"/>
      </w:r>
      <w:r w:rsidR="00D21B03">
        <w:rPr>
          <w:sz w:val="24"/>
          <w:szCs w:val="24"/>
        </w:rPr>
        <w:t xml:space="preserve"> –, </w:t>
      </w:r>
      <w:r w:rsidR="00224EEA">
        <w:rPr>
          <w:sz w:val="24"/>
          <w:szCs w:val="24"/>
        </w:rPr>
        <w:t xml:space="preserve">dazu eine Anzahl </w:t>
      </w:r>
      <w:r w:rsidR="00D21B03">
        <w:rPr>
          <w:sz w:val="24"/>
          <w:szCs w:val="24"/>
        </w:rPr>
        <w:t>„linksbürgerliche</w:t>
      </w:r>
      <w:r w:rsidR="00224EEA">
        <w:rPr>
          <w:sz w:val="24"/>
          <w:szCs w:val="24"/>
        </w:rPr>
        <w:t>r</w:t>
      </w:r>
      <w:r w:rsidR="00D21B03">
        <w:rPr>
          <w:sz w:val="24"/>
          <w:szCs w:val="24"/>
        </w:rPr>
        <w:t xml:space="preserve">“ </w:t>
      </w:r>
      <w:r w:rsidR="009F786A">
        <w:rPr>
          <w:sz w:val="24"/>
          <w:szCs w:val="24"/>
        </w:rPr>
        <w:t xml:space="preserve">Autoren wie Oskar Maria Graf, </w:t>
      </w:r>
      <w:r w:rsidR="003C460F">
        <w:rPr>
          <w:sz w:val="24"/>
          <w:szCs w:val="24"/>
        </w:rPr>
        <w:t>K</w:t>
      </w:r>
      <w:r w:rsidR="009F786A">
        <w:rPr>
          <w:sz w:val="24"/>
          <w:szCs w:val="24"/>
        </w:rPr>
        <w:t xml:space="preserve">laus Mann, Ernst Toller oder Albert Ehrenstein. Prominent waren unter den Gästen die französischen Schriftsteller mit Louis Aragon, Jean-Richard Bloch, André Malraux und Vladimir </w:t>
      </w:r>
      <w:proofErr w:type="spellStart"/>
      <w:r w:rsidR="009F786A">
        <w:rPr>
          <w:sz w:val="24"/>
          <w:szCs w:val="24"/>
        </w:rPr>
        <w:t>Pozner</w:t>
      </w:r>
      <w:proofErr w:type="spellEnd"/>
      <w:r w:rsidR="009F786A">
        <w:rPr>
          <w:sz w:val="24"/>
          <w:szCs w:val="24"/>
        </w:rPr>
        <w:t xml:space="preserve"> vertreten.</w:t>
      </w:r>
    </w:p>
    <w:p w:rsidR="00DB64FA" w:rsidRDefault="005B3B9C" w:rsidP="001D2105">
      <w:pPr>
        <w:pStyle w:val="Funotentext"/>
        <w:spacing w:line="276" w:lineRule="auto"/>
        <w:ind w:firstLine="708"/>
        <w:jc w:val="both"/>
        <w:rPr>
          <w:sz w:val="24"/>
          <w:szCs w:val="24"/>
        </w:rPr>
      </w:pPr>
      <w:r>
        <w:rPr>
          <w:sz w:val="24"/>
          <w:szCs w:val="24"/>
        </w:rPr>
        <w:t xml:space="preserve">Heinrich Mann hatte </w:t>
      </w:r>
      <w:r w:rsidR="00915597">
        <w:rPr>
          <w:sz w:val="24"/>
          <w:szCs w:val="24"/>
        </w:rPr>
        <w:t xml:space="preserve">auf </w:t>
      </w:r>
      <w:r w:rsidR="00224EEA">
        <w:rPr>
          <w:sz w:val="24"/>
          <w:szCs w:val="24"/>
        </w:rPr>
        <w:t>ein</w:t>
      </w:r>
      <w:r w:rsidR="00915597">
        <w:rPr>
          <w:sz w:val="24"/>
          <w:szCs w:val="24"/>
        </w:rPr>
        <w:t xml:space="preserve">e Bitte von Alfred Kantorowicz </w:t>
      </w:r>
      <w:r w:rsidR="00485959">
        <w:rPr>
          <w:sz w:val="24"/>
          <w:szCs w:val="24"/>
        </w:rPr>
        <w:t xml:space="preserve">ein Grußwort </w:t>
      </w:r>
      <w:r w:rsidR="00717F54">
        <w:rPr>
          <w:sz w:val="24"/>
          <w:szCs w:val="24"/>
        </w:rPr>
        <w:t>an den Kongress gerichtet</w:t>
      </w:r>
      <w:r w:rsidR="00224EEA">
        <w:rPr>
          <w:sz w:val="24"/>
          <w:szCs w:val="24"/>
        </w:rPr>
        <w:t>.</w:t>
      </w:r>
      <w:r>
        <w:rPr>
          <w:sz w:val="24"/>
          <w:szCs w:val="24"/>
        </w:rPr>
        <w:t xml:space="preserve"> </w:t>
      </w:r>
      <w:r w:rsidR="003C460F" w:rsidRPr="003C460F">
        <w:rPr>
          <w:sz w:val="24"/>
          <w:szCs w:val="24"/>
        </w:rPr>
        <w:t xml:space="preserve">Es </w:t>
      </w:r>
      <w:r w:rsidR="00717F54">
        <w:rPr>
          <w:sz w:val="24"/>
          <w:szCs w:val="24"/>
        </w:rPr>
        <w:t>darf</w:t>
      </w:r>
      <w:r w:rsidR="003C460F" w:rsidRPr="003C460F">
        <w:rPr>
          <w:sz w:val="24"/>
          <w:szCs w:val="24"/>
        </w:rPr>
        <w:t xml:space="preserve"> unterstellt werden, dass Kantorowicz dabei im Parteiauftrag </w:t>
      </w:r>
      <w:r w:rsidR="00717F54">
        <w:rPr>
          <w:sz w:val="24"/>
          <w:szCs w:val="24"/>
        </w:rPr>
        <w:t>g</w:t>
      </w:r>
      <w:r w:rsidR="00717F54">
        <w:rPr>
          <w:sz w:val="24"/>
          <w:szCs w:val="24"/>
        </w:rPr>
        <w:t>e</w:t>
      </w:r>
      <w:r w:rsidR="003C460F" w:rsidRPr="003C460F">
        <w:rPr>
          <w:sz w:val="24"/>
          <w:szCs w:val="24"/>
        </w:rPr>
        <w:t>handelt</w:t>
      </w:r>
      <w:r w:rsidR="00717F54">
        <w:rPr>
          <w:sz w:val="24"/>
          <w:szCs w:val="24"/>
        </w:rPr>
        <w:t xml:space="preserve"> und auch einzelne Formulierungen</w:t>
      </w:r>
      <w:r w:rsidR="003C460F" w:rsidRPr="003C460F">
        <w:rPr>
          <w:sz w:val="24"/>
          <w:szCs w:val="24"/>
        </w:rPr>
        <w:t xml:space="preserve"> geliefert ha</w:t>
      </w:r>
      <w:r w:rsidR="00717F54">
        <w:rPr>
          <w:sz w:val="24"/>
          <w:szCs w:val="24"/>
        </w:rPr>
        <w:t>tt</w:t>
      </w:r>
      <w:r w:rsidR="003C460F" w:rsidRPr="003C460F">
        <w:rPr>
          <w:sz w:val="24"/>
          <w:szCs w:val="24"/>
        </w:rPr>
        <w:t>e.</w:t>
      </w:r>
      <w:r w:rsidR="00717F54">
        <w:rPr>
          <w:sz w:val="24"/>
          <w:szCs w:val="24"/>
        </w:rPr>
        <w:t xml:space="preserve"> </w:t>
      </w:r>
      <w:r w:rsidR="001439C2">
        <w:rPr>
          <w:sz w:val="24"/>
          <w:szCs w:val="24"/>
        </w:rPr>
        <w:t>Das Grußwort</w:t>
      </w:r>
      <w:r w:rsidR="00224EEA">
        <w:rPr>
          <w:sz w:val="24"/>
          <w:szCs w:val="24"/>
        </w:rPr>
        <w:t xml:space="preserve"> war</w:t>
      </w:r>
      <w:r>
        <w:rPr>
          <w:sz w:val="24"/>
          <w:szCs w:val="24"/>
        </w:rPr>
        <w:t xml:space="preserve"> ganz auf den „Antifaschismus“ abgestellt </w:t>
      </w:r>
      <w:r w:rsidR="00D40643">
        <w:rPr>
          <w:sz w:val="24"/>
          <w:szCs w:val="24"/>
        </w:rPr>
        <w:t xml:space="preserve">und </w:t>
      </w:r>
      <w:r w:rsidR="00224EEA">
        <w:rPr>
          <w:sz w:val="24"/>
          <w:szCs w:val="24"/>
        </w:rPr>
        <w:t xml:space="preserve">legte </w:t>
      </w:r>
      <w:r w:rsidR="00717F54">
        <w:rPr>
          <w:sz w:val="24"/>
          <w:szCs w:val="24"/>
        </w:rPr>
        <w:t xml:space="preserve">auf diese Weise </w:t>
      </w:r>
      <w:r w:rsidR="00224EEA">
        <w:rPr>
          <w:sz w:val="24"/>
          <w:szCs w:val="24"/>
        </w:rPr>
        <w:t xml:space="preserve">ungewollt </w:t>
      </w:r>
      <w:r w:rsidR="00D40643">
        <w:rPr>
          <w:sz w:val="24"/>
          <w:szCs w:val="24"/>
        </w:rPr>
        <w:t>die Unschärfe und Vielde</w:t>
      </w:r>
      <w:r w:rsidR="00D40643">
        <w:rPr>
          <w:sz w:val="24"/>
          <w:szCs w:val="24"/>
        </w:rPr>
        <w:t>u</w:t>
      </w:r>
      <w:r w:rsidR="00D40643">
        <w:rPr>
          <w:sz w:val="24"/>
          <w:szCs w:val="24"/>
        </w:rPr>
        <w:t xml:space="preserve">tigkeit des Begriffes </w:t>
      </w:r>
      <w:r w:rsidR="00224EEA">
        <w:rPr>
          <w:sz w:val="24"/>
          <w:szCs w:val="24"/>
        </w:rPr>
        <w:t>offen</w:t>
      </w:r>
      <w:r w:rsidR="001439C2">
        <w:rPr>
          <w:sz w:val="24"/>
          <w:szCs w:val="24"/>
        </w:rPr>
        <w:t xml:space="preserve">. </w:t>
      </w:r>
      <w:r w:rsidR="00BB315D">
        <w:rPr>
          <w:sz w:val="24"/>
          <w:szCs w:val="24"/>
        </w:rPr>
        <w:t>Dass Heinrich Mann den Begriff dabei seinem eigenen Denken angepasst hatte, steht außer Frage</w:t>
      </w:r>
      <w:r>
        <w:rPr>
          <w:sz w:val="24"/>
          <w:szCs w:val="24"/>
        </w:rPr>
        <w:t>:</w:t>
      </w:r>
    </w:p>
    <w:p w:rsidR="00846750" w:rsidRDefault="005B3B9C" w:rsidP="001D2105">
      <w:pPr>
        <w:spacing w:after="0"/>
        <w:ind w:left="1134"/>
        <w:jc w:val="both"/>
        <w:rPr>
          <w:sz w:val="24"/>
          <w:szCs w:val="24"/>
        </w:rPr>
      </w:pPr>
      <w:r>
        <w:rPr>
          <w:sz w:val="24"/>
          <w:szCs w:val="24"/>
        </w:rPr>
        <w:t>„Die ‚antifaschistischen‘ Schriftsteller sind solche, die ihre Sache auf die Leistung gestellt habe</w:t>
      </w:r>
      <w:r w:rsidR="008353D0">
        <w:rPr>
          <w:sz w:val="24"/>
          <w:szCs w:val="24"/>
        </w:rPr>
        <w:t>n</w:t>
      </w:r>
      <w:r>
        <w:rPr>
          <w:sz w:val="24"/>
          <w:szCs w:val="24"/>
        </w:rPr>
        <w:t>, anstatt auf die Begünstigung durch das faschistische Regime. Sie werden in der Mehrzahl sozialistisch denken</w:t>
      </w:r>
      <w:r w:rsidR="00D40643">
        <w:rPr>
          <w:sz w:val="24"/>
          <w:szCs w:val="24"/>
        </w:rPr>
        <w:t xml:space="preserve">; die Hauptsache bleibt, </w:t>
      </w:r>
      <w:proofErr w:type="spellStart"/>
      <w:r w:rsidR="00D40643">
        <w:rPr>
          <w:sz w:val="24"/>
          <w:szCs w:val="24"/>
        </w:rPr>
        <w:t>daß</w:t>
      </w:r>
      <w:proofErr w:type="spellEnd"/>
      <w:r w:rsidR="00D40643">
        <w:rPr>
          <w:sz w:val="24"/>
          <w:szCs w:val="24"/>
        </w:rPr>
        <w:t xml:space="preserve"> sie übe</w:t>
      </w:r>
      <w:r w:rsidR="00D40643">
        <w:rPr>
          <w:sz w:val="24"/>
          <w:szCs w:val="24"/>
        </w:rPr>
        <w:t>r</w:t>
      </w:r>
      <w:r w:rsidR="00D40643">
        <w:rPr>
          <w:sz w:val="24"/>
          <w:szCs w:val="24"/>
        </w:rPr>
        <w:t>haupt denken wollen. Die antifaschistische Literatur ist nicht notwendig absicht</w:t>
      </w:r>
      <w:r w:rsidR="00D40643">
        <w:rPr>
          <w:sz w:val="24"/>
          <w:szCs w:val="24"/>
        </w:rPr>
        <w:t>s</w:t>
      </w:r>
      <w:r w:rsidR="00D40643">
        <w:rPr>
          <w:sz w:val="24"/>
          <w:szCs w:val="24"/>
        </w:rPr>
        <w:t xml:space="preserve">voll antifaschistisch: sie ist es schon dadurch, </w:t>
      </w:r>
      <w:proofErr w:type="spellStart"/>
      <w:r w:rsidR="00D40643">
        <w:rPr>
          <w:sz w:val="24"/>
          <w:szCs w:val="24"/>
        </w:rPr>
        <w:t>daß</w:t>
      </w:r>
      <w:proofErr w:type="spellEnd"/>
      <w:r w:rsidR="00D40643">
        <w:rPr>
          <w:sz w:val="24"/>
          <w:szCs w:val="24"/>
        </w:rPr>
        <w:t xml:space="preserve"> sie auf der Gewissensfreiheit besteht. […] Die antifaschistische Literatur ist in Wirklichkeit die einzige deu</w:t>
      </w:r>
      <w:r w:rsidR="00D40643">
        <w:rPr>
          <w:sz w:val="24"/>
          <w:szCs w:val="24"/>
        </w:rPr>
        <w:t>t</w:t>
      </w:r>
      <w:r w:rsidR="00D40643">
        <w:rPr>
          <w:sz w:val="24"/>
          <w:szCs w:val="24"/>
        </w:rPr>
        <w:t>sche Literatur; vor allem, weil nur sie die Gedanken- und Gewissensfreiheit beha</w:t>
      </w:r>
      <w:r w:rsidR="00D40643">
        <w:rPr>
          <w:sz w:val="24"/>
          <w:szCs w:val="24"/>
        </w:rPr>
        <w:t>l</w:t>
      </w:r>
      <w:r w:rsidR="00D40643">
        <w:rPr>
          <w:sz w:val="24"/>
          <w:szCs w:val="24"/>
        </w:rPr>
        <w:t xml:space="preserve">ten hat, dann aber auch kraft des Leidens. </w:t>
      </w:r>
      <w:r w:rsidR="00697A32">
        <w:rPr>
          <w:sz w:val="24"/>
          <w:szCs w:val="24"/>
        </w:rPr>
        <w:t xml:space="preserve">Durch Verbannung, Not und Mühen werden die Begabungen vertieft </w:t>
      </w:r>
      <w:r w:rsidR="00D40643">
        <w:rPr>
          <w:sz w:val="24"/>
          <w:szCs w:val="24"/>
        </w:rPr>
        <w:t>[…]</w:t>
      </w:r>
      <w:r w:rsidR="00697A32">
        <w:rPr>
          <w:sz w:val="24"/>
          <w:szCs w:val="24"/>
        </w:rPr>
        <w:t>. Wenn das spätere Deutschland selbst einmal besser werden sollte als es sonst war, dann wird diese Literatur sich hoffentlich herausstellen als seine geistige Vorwegnahme.</w:t>
      </w:r>
      <w:r w:rsidR="00D40643">
        <w:rPr>
          <w:sz w:val="24"/>
          <w:szCs w:val="24"/>
        </w:rPr>
        <w:t>“</w:t>
      </w:r>
      <w:r w:rsidR="00D40643">
        <w:rPr>
          <w:rStyle w:val="Funotenzeichen"/>
          <w:sz w:val="24"/>
          <w:szCs w:val="24"/>
        </w:rPr>
        <w:footnoteReference w:id="30"/>
      </w:r>
    </w:p>
    <w:p w:rsidR="00CD3541" w:rsidRDefault="00E8245C" w:rsidP="001D2105">
      <w:pPr>
        <w:spacing w:after="0"/>
        <w:jc w:val="both"/>
        <w:rPr>
          <w:sz w:val="24"/>
          <w:szCs w:val="24"/>
        </w:rPr>
      </w:pPr>
      <w:r>
        <w:rPr>
          <w:sz w:val="24"/>
          <w:szCs w:val="24"/>
        </w:rPr>
        <w:t xml:space="preserve">Johannes R. Becher ging in seiner </w:t>
      </w:r>
      <w:r w:rsidR="005B753C">
        <w:rPr>
          <w:sz w:val="24"/>
          <w:szCs w:val="24"/>
        </w:rPr>
        <w:t>Kongress-</w:t>
      </w:r>
      <w:r>
        <w:rPr>
          <w:sz w:val="24"/>
          <w:szCs w:val="24"/>
        </w:rPr>
        <w:t xml:space="preserve">Rede sowohl auf Heinrich Manns </w:t>
      </w:r>
      <w:r w:rsidR="00BB315D">
        <w:rPr>
          <w:sz w:val="24"/>
          <w:szCs w:val="24"/>
        </w:rPr>
        <w:t>Essaysam</w:t>
      </w:r>
      <w:r w:rsidR="00BB315D">
        <w:rPr>
          <w:sz w:val="24"/>
          <w:szCs w:val="24"/>
        </w:rPr>
        <w:t>m</w:t>
      </w:r>
      <w:r w:rsidR="00BB315D">
        <w:rPr>
          <w:sz w:val="24"/>
          <w:szCs w:val="24"/>
        </w:rPr>
        <w:t>lung</w:t>
      </w:r>
      <w:r>
        <w:rPr>
          <w:sz w:val="24"/>
          <w:szCs w:val="24"/>
        </w:rPr>
        <w:t xml:space="preserve"> </w:t>
      </w:r>
      <w:r>
        <w:rPr>
          <w:i/>
          <w:sz w:val="24"/>
          <w:szCs w:val="24"/>
        </w:rPr>
        <w:t xml:space="preserve">Der </w:t>
      </w:r>
      <w:proofErr w:type="spellStart"/>
      <w:r>
        <w:rPr>
          <w:i/>
          <w:sz w:val="24"/>
          <w:szCs w:val="24"/>
        </w:rPr>
        <w:t>Haß</w:t>
      </w:r>
      <w:proofErr w:type="spellEnd"/>
      <w:r>
        <w:rPr>
          <w:sz w:val="24"/>
          <w:szCs w:val="24"/>
        </w:rPr>
        <w:t xml:space="preserve"> als auch auf </w:t>
      </w:r>
      <w:r w:rsidR="003B40AC">
        <w:rPr>
          <w:sz w:val="24"/>
          <w:szCs w:val="24"/>
        </w:rPr>
        <w:t>d</w:t>
      </w:r>
      <w:r w:rsidR="008353D0">
        <w:rPr>
          <w:sz w:val="24"/>
          <w:szCs w:val="24"/>
        </w:rPr>
        <w:t>i</w:t>
      </w:r>
      <w:r w:rsidR="003B40AC">
        <w:rPr>
          <w:sz w:val="24"/>
          <w:szCs w:val="24"/>
        </w:rPr>
        <w:t>ese</w:t>
      </w:r>
      <w:r w:rsidR="008353D0">
        <w:rPr>
          <w:sz w:val="24"/>
          <w:szCs w:val="24"/>
        </w:rPr>
        <w:t xml:space="preserve"> </w:t>
      </w:r>
      <w:r>
        <w:rPr>
          <w:sz w:val="24"/>
          <w:szCs w:val="24"/>
        </w:rPr>
        <w:t>Grußbotschaft ein</w:t>
      </w:r>
      <w:r w:rsidR="00CD3541">
        <w:rPr>
          <w:sz w:val="24"/>
          <w:szCs w:val="24"/>
        </w:rPr>
        <w:t xml:space="preserve">, wobei er </w:t>
      </w:r>
      <w:r w:rsidR="00BB315D">
        <w:rPr>
          <w:sz w:val="24"/>
          <w:szCs w:val="24"/>
        </w:rPr>
        <w:t>Manns</w:t>
      </w:r>
      <w:r w:rsidR="00CD3541">
        <w:rPr>
          <w:sz w:val="24"/>
          <w:szCs w:val="24"/>
        </w:rPr>
        <w:t xml:space="preserve"> Äußerungen z.T. emph</w:t>
      </w:r>
      <w:r w:rsidR="00CD3541">
        <w:rPr>
          <w:sz w:val="24"/>
          <w:szCs w:val="24"/>
        </w:rPr>
        <w:t>a</w:t>
      </w:r>
      <w:r w:rsidR="00CD3541">
        <w:rPr>
          <w:sz w:val="24"/>
          <w:szCs w:val="24"/>
        </w:rPr>
        <w:t xml:space="preserve">tisch </w:t>
      </w:r>
      <w:r w:rsidR="00BB315D">
        <w:rPr>
          <w:sz w:val="24"/>
          <w:szCs w:val="24"/>
        </w:rPr>
        <w:t>begrüßt</w:t>
      </w:r>
      <w:r w:rsidR="00CD3541">
        <w:rPr>
          <w:sz w:val="24"/>
          <w:szCs w:val="24"/>
        </w:rPr>
        <w:t xml:space="preserve">e, </w:t>
      </w:r>
      <w:r w:rsidR="003B40AC">
        <w:rPr>
          <w:sz w:val="24"/>
          <w:szCs w:val="24"/>
        </w:rPr>
        <w:t xml:space="preserve">sie </w:t>
      </w:r>
      <w:r w:rsidR="00CD3541">
        <w:rPr>
          <w:sz w:val="24"/>
          <w:szCs w:val="24"/>
        </w:rPr>
        <w:t xml:space="preserve">z.T. jedoch auch kritisch </w:t>
      </w:r>
      <w:r w:rsidR="003B40AC">
        <w:rPr>
          <w:sz w:val="24"/>
          <w:szCs w:val="24"/>
        </w:rPr>
        <w:t>kommentier</w:t>
      </w:r>
      <w:r w:rsidR="00CD3541">
        <w:rPr>
          <w:sz w:val="24"/>
          <w:szCs w:val="24"/>
        </w:rPr>
        <w:t>te</w:t>
      </w:r>
    </w:p>
    <w:p w:rsidR="00CD3541" w:rsidRDefault="00CD3541" w:rsidP="001D2105">
      <w:pPr>
        <w:spacing w:after="0"/>
        <w:ind w:left="1134"/>
        <w:jc w:val="both"/>
        <w:rPr>
          <w:sz w:val="24"/>
          <w:szCs w:val="24"/>
        </w:rPr>
      </w:pPr>
      <w:r>
        <w:rPr>
          <w:sz w:val="24"/>
          <w:szCs w:val="24"/>
        </w:rPr>
        <w:t xml:space="preserve">„Er [Heinrich Mann] hat erklärt, </w:t>
      </w:r>
      <w:proofErr w:type="spellStart"/>
      <w:r>
        <w:rPr>
          <w:sz w:val="24"/>
          <w:szCs w:val="24"/>
        </w:rPr>
        <w:t>daß</w:t>
      </w:r>
      <w:proofErr w:type="spellEnd"/>
      <w:r>
        <w:rPr>
          <w:sz w:val="24"/>
          <w:szCs w:val="24"/>
        </w:rPr>
        <w:t xml:space="preserve"> der Kommunismus das Wirkliche sei, das sich Bahn breche durch den Schwindel der Hitlerei. Das sind Worte, die in die Waagschale fallen, Worte der echten Vernunft, Worte eines tiefen Ernstes. Aber ges</w:t>
      </w:r>
      <w:r w:rsidR="008353D0">
        <w:rPr>
          <w:sz w:val="24"/>
          <w:szCs w:val="24"/>
        </w:rPr>
        <w:t>t</w:t>
      </w:r>
      <w:r>
        <w:rPr>
          <w:sz w:val="24"/>
          <w:szCs w:val="24"/>
        </w:rPr>
        <w:t>ehen wir es, derselbe Heinrich Mann hat auch manches Wort gegen den Kommunismus gesagt, er hat sich in manchen Widersprüchen verfangen, er hat zuweilen den betrügerischen Phrasen der deuts</w:t>
      </w:r>
      <w:r w:rsidR="005B753C">
        <w:rPr>
          <w:sz w:val="24"/>
          <w:szCs w:val="24"/>
        </w:rPr>
        <w:t>c</w:t>
      </w:r>
      <w:r>
        <w:rPr>
          <w:sz w:val="24"/>
          <w:szCs w:val="24"/>
        </w:rPr>
        <w:t xml:space="preserve">hen Sozialdemokratie Glauben </w:t>
      </w:r>
      <w:r>
        <w:rPr>
          <w:sz w:val="24"/>
          <w:szCs w:val="24"/>
        </w:rPr>
        <w:lastRenderedPageBreak/>
        <w:t xml:space="preserve">geschenkt. Wir werden es Heinrich </w:t>
      </w:r>
      <w:r w:rsidR="005B753C">
        <w:rPr>
          <w:sz w:val="24"/>
          <w:szCs w:val="24"/>
        </w:rPr>
        <w:t>M</w:t>
      </w:r>
      <w:r>
        <w:rPr>
          <w:sz w:val="24"/>
          <w:szCs w:val="24"/>
        </w:rPr>
        <w:t>ann nicht ersparen: wir werden ‚Nein‘ sagen zu manchen von seinen Ideen und Verkündigungen. Aber wir achten und ehren den tapferen antifaschistischen Kämpfer […].</w:t>
      </w:r>
    </w:p>
    <w:p w:rsidR="005044C3" w:rsidRPr="00E8245C" w:rsidRDefault="00CD3541" w:rsidP="001D2105">
      <w:pPr>
        <w:spacing w:after="0"/>
        <w:ind w:left="1134"/>
        <w:jc w:val="both"/>
        <w:rPr>
          <w:sz w:val="24"/>
          <w:szCs w:val="24"/>
        </w:rPr>
      </w:pPr>
      <w:r>
        <w:rPr>
          <w:sz w:val="24"/>
          <w:szCs w:val="24"/>
        </w:rPr>
        <w:t xml:space="preserve">In dem Gruß Heinrich Manns an diesen </w:t>
      </w:r>
      <w:proofErr w:type="spellStart"/>
      <w:r>
        <w:rPr>
          <w:sz w:val="24"/>
          <w:szCs w:val="24"/>
        </w:rPr>
        <w:t>Kongreß</w:t>
      </w:r>
      <w:proofErr w:type="spellEnd"/>
      <w:r>
        <w:rPr>
          <w:sz w:val="24"/>
          <w:szCs w:val="24"/>
        </w:rPr>
        <w:t xml:space="preserve"> heißt es, </w:t>
      </w:r>
      <w:proofErr w:type="spellStart"/>
      <w:r>
        <w:rPr>
          <w:sz w:val="24"/>
          <w:szCs w:val="24"/>
        </w:rPr>
        <w:t>daß</w:t>
      </w:r>
      <w:proofErr w:type="spellEnd"/>
      <w:r>
        <w:rPr>
          <w:sz w:val="24"/>
          <w:szCs w:val="24"/>
        </w:rPr>
        <w:t xml:space="preserve"> die antifaschist</w:t>
      </w:r>
      <w:r>
        <w:rPr>
          <w:sz w:val="24"/>
          <w:szCs w:val="24"/>
        </w:rPr>
        <w:t>i</w:t>
      </w:r>
      <w:r>
        <w:rPr>
          <w:sz w:val="24"/>
          <w:szCs w:val="24"/>
        </w:rPr>
        <w:t>schen Schriftsteller ‚in der Mehrzahl sozialistisch denken‘; die Hauptsache sei es, ‚</w:t>
      </w:r>
      <w:proofErr w:type="spellStart"/>
      <w:r>
        <w:rPr>
          <w:sz w:val="24"/>
          <w:szCs w:val="24"/>
        </w:rPr>
        <w:t>daß</w:t>
      </w:r>
      <w:proofErr w:type="spellEnd"/>
      <w:r>
        <w:rPr>
          <w:sz w:val="24"/>
          <w:szCs w:val="24"/>
        </w:rPr>
        <w:t xml:space="preserve"> sie überhaupt denken wollen‘. Wir sind fest davon überzeugt, </w:t>
      </w:r>
      <w:proofErr w:type="spellStart"/>
      <w:r>
        <w:rPr>
          <w:sz w:val="24"/>
          <w:szCs w:val="24"/>
        </w:rPr>
        <w:t>daß</w:t>
      </w:r>
      <w:proofErr w:type="spellEnd"/>
      <w:r>
        <w:rPr>
          <w:sz w:val="24"/>
          <w:szCs w:val="24"/>
        </w:rPr>
        <w:t xml:space="preserve"> dieser Wi</w:t>
      </w:r>
      <w:r>
        <w:rPr>
          <w:sz w:val="24"/>
          <w:szCs w:val="24"/>
        </w:rPr>
        <w:t>l</w:t>
      </w:r>
      <w:r>
        <w:rPr>
          <w:sz w:val="24"/>
          <w:szCs w:val="24"/>
        </w:rPr>
        <w:t xml:space="preserve">le zum tiefen Begreifen der Geschehnisse unserer Tage, </w:t>
      </w:r>
      <w:proofErr w:type="spellStart"/>
      <w:r>
        <w:rPr>
          <w:sz w:val="24"/>
          <w:szCs w:val="24"/>
        </w:rPr>
        <w:t>daß</w:t>
      </w:r>
      <w:proofErr w:type="spellEnd"/>
      <w:r>
        <w:rPr>
          <w:sz w:val="24"/>
          <w:szCs w:val="24"/>
        </w:rPr>
        <w:t xml:space="preserve"> dieser ehrliche Wille zur Wahrheit Schriftsteller wie Heinrich Mann, Lion Feuchtwanger und viele a</w:t>
      </w:r>
      <w:r>
        <w:rPr>
          <w:sz w:val="24"/>
          <w:szCs w:val="24"/>
        </w:rPr>
        <w:t>n</w:t>
      </w:r>
      <w:r>
        <w:rPr>
          <w:sz w:val="24"/>
          <w:szCs w:val="24"/>
        </w:rPr>
        <w:t>dere Hasser des Faschismus der revolutionären Arbeitersache nahebringen wird. Wir erwarten viel von ihrer Mithilfe, von ihrer klar bekundeten Bereitschaft, mit der Macht ihres Wortes einzutreten in die Arena des Kampfes gegen den Krieg und gegen den Faschismus.“</w:t>
      </w:r>
      <w:r>
        <w:rPr>
          <w:rStyle w:val="Funotenzeichen"/>
          <w:sz w:val="24"/>
          <w:szCs w:val="24"/>
        </w:rPr>
        <w:footnoteReference w:id="31"/>
      </w:r>
    </w:p>
    <w:p w:rsidR="008353D0" w:rsidRDefault="005B753C" w:rsidP="001D2105">
      <w:pPr>
        <w:spacing w:after="0"/>
        <w:jc w:val="both"/>
        <w:rPr>
          <w:sz w:val="24"/>
          <w:szCs w:val="24"/>
        </w:rPr>
      </w:pPr>
      <w:r>
        <w:rPr>
          <w:sz w:val="24"/>
          <w:szCs w:val="24"/>
        </w:rPr>
        <w:t xml:space="preserve">Der Seitenhieb gegen die Sozialdemokraten und ihre „betrügerischen Phrasen“ erfolgte </w:t>
      </w:r>
      <w:r w:rsidR="003B40AC">
        <w:rPr>
          <w:sz w:val="24"/>
          <w:szCs w:val="24"/>
        </w:rPr>
        <w:t xml:space="preserve">an diesem Ort </w:t>
      </w:r>
      <w:r>
        <w:rPr>
          <w:sz w:val="24"/>
          <w:szCs w:val="24"/>
        </w:rPr>
        <w:t>nicht ohne Hintergedanken: Die Sozialdemokraten waren die unmittelbaren polit</w:t>
      </w:r>
      <w:r>
        <w:rPr>
          <w:sz w:val="24"/>
          <w:szCs w:val="24"/>
        </w:rPr>
        <w:t>i</w:t>
      </w:r>
      <w:r>
        <w:rPr>
          <w:sz w:val="24"/>
          <w:szCs w:val="24"/>
        </w:rPr>
        <w:t>schen Konkurrenten; man wollte Schriftsteller wie Heinrich Mann und Lion Feuchtwanger aus dem Bündnis mit den Sozialdemokraten lösen, um durch ihre Autorität den Anspruch der KPD auf Meinungsführerschaft zu stützen.</w:t>
      </w:r>
    </w:p>
    <w:p w:rsidR="00697A32" w:rsidRDefault="00F83771" w:rsidP="001D2105">
      <w:pPr>
        <w:spacing w:after="0"/>
        <w:ind w:firstLine="708"/>
        <w:jc w:val="both"/>
        <w:rPr>
          <w:sz w:val="24"/>
          <w:szCs w:val="24"/>
        </w:rPr>
      </w:pPr>
      <w:r>
        <w:rPr>
          <w:sz w:val="24"/>
          <w:szCs w:val="24"/>
        </w:rPr>
        <w:t>D</w:t>
      </w:r>
      <w:r w:rsidR="003B40AC">
        <w:rPr>
          <w:sz w:val="24"/>
          <w:szCs w:val="24"/>
        </w:rPr>
        <w:t xml:space="preserve">ie </w:t>
      </w:r>
      <w:r w:rsidR="00BB315D">
        <w:rPr>
          <w:sz w:val="24"/>
          <w:szCs w:val="24"/>
        </w:rPr>
        <w:t xml:space="preserve">anmaßende </w:t>
      </w:r>
      <w:r w:rsidR="00717F54">
        <w:rPr>
          <w:sz w:val="24"/>
          <w:szCs w:val="24"/>
        </w:rPr>
        <w:t>Arroganz</w:t>
      </w:r>
      <w:r w:rsidR="00BB315D" w:rsidRPr="00BB315D">
        <w:rPr>
          <w:sz w:val="24"/>
          <w:szCs w:val="24"/>
        </w:rPr>
        <w:t xml:space="preserve"> </w:t>
      </w:r>
      <w:r w:rsidR="00BB315D">
        <w:rPr>
          <w:sz w:val="24"/>
          <w:szCs w:val="24"/>
        </w:rPr>
        <w:t>von Bechers Lob</w:t>
      </w:r>
      <w:r w:rsidR="003B40AC">
        <w:rPr>
          <w:sz w:val="24"/>
          <w:szCs w:val="24"/>
        </w:rPr>
        <w:t xml:space="preserve"> wird deutlich, wenn er </w:t>
      </w:r>
      <w:r w:rsidR="00BB315D">
        <w:rPr>
          <w:sz w:val="24"/>
          <w:szCs w:val="24"/>
        </w:rPr>
        <w:t>von</w:t>
      </w:r>
      <w:r w:rsidR="003B40AC">
        <w:rPr>
          <w:sz w:val="24"/>
          <w:szCs w:val="24"/>
        </w:rPr>
        <w:t xml:space="preserve"> Heinrich Mann</w:t>
      </w:r>
      <w:r w:rsidR="00BB315D">
        <w:rPr>
          <w:sz w:val="24"/>
          <w:szCs w:val="24"/>
        </w:rPr>
        <w:t>s</w:t>
      </w:r>
      <w:r w:rsidR="003B40AC">
        <w:rPr>
          <w:sz w:val="24"/>
          <w:szCs w:val="24"/>
        </w:rPr>
        <w:t xml:space="preserve"> </w:t>
      </w:r>
      <w:r w:rsidR="00A631D9">
        <w:rPr>
          <w:sz w:val="24"/>
          <w:szCs w:val="24"/>
        </w:rPr>
        <w:t>„ehrliche[</w:t>
      </w:r>
      <w:r w:rsidR="00BB315D">
        <w:rPr>
          <w:sz w:val="24"/>
          <w:szCs w:val="24"/>
        </w:rPr>
        <w:t>m</w:t>
      </w:r>
      <w:r w:rsidR="00A631D9">
        <w:rPr>
          <w:sz w:val="24"/>
          <w:szCs w:val="24"/>
        </w:rPr>
        <w:t>] Wille</w:t>
      </w:r>
      <w:r w:rsidR="00BB315D">
        <w:rPr>
          <w:sz w:val="24"/>
          <w:szCs w:val="24"/>
        </w:rPr>
        <w:t xml:space="preserve">[n] </w:t>
      </w:r>
      <w:r w:rsidR="00A631D9">
        <w:rPr>
          <w:sz w:val="24"/>
          <w:szCs w:val="24"/>
        </w:rPr>
        <w:t xml:space="preserve">zur Wahrheit“ </w:t>
      </w:r>
      <w:r>
        <w:rPr>
          <w:sz w:val="24"/>
          <w:szCs w:val="24"/>
        </w:rPr>
        <w:t xml:space="preserve">spricht </w:t>
      </w:r>
      <w:r w:rsidR="00BB6AEB">
        <w:rPr>
          <w:sz w:val="24"/>
          <w:szCs w:val="24"/>
        </w:rPr>
        <w:t>bzw.</w:t>
      </w:r>
      <w:r w:rsidR="00A631D9">
        <w:rPr>
          <w:sz w:val="24"/>
          <w:szCs w:val="24"/>
        </w:rPr>
        <w:t xml:space="preserve"> davon, dass dieser Wille „Schrif</w:t>
      </w:r>
      <w:r w:rsidR="00A631D9">
        <w:rPr>
          <w:sz w:val="24"/>
          <w:szCs w:val="24"/>
        </w:rPr>
        <w:t>t</w:t>
      </w:r>
      <w:r w:rsidR="00A631D9">
        <w:rPr>
          <w:sz w:val="24"/>
          <w:szCs w:val="24"/>
        </w:rPr>
        <w:t xml:space="preserve">steller wie Heinrich Mann, Lion Feuchtwanger und viele andere Hasser des Faschismus der </w:t>
      </w:r>
      <w:r w:rsidR="00A631D9" w:rsidRPr="00497A77">
        <w:rPr>
          <w:sz w:val="24"/>
          <w:szCs w:val="24"/>
        </w:rPr>
        <w:t>revolutionären Arbeitersache nahebringen wird</w:t>
      </w:r>
      <w:r w:rsidRPr="00497A77">
        <w:rPr>
          <w:sz w:val="24"/>
          <w:szCs w:val="24"/>
        </w:rPr>
        <w:t>“</w:t>
      </w:r>
      <w:r>
        <w:rPr>
          <w:sz w:val="24"/>
          <w:szCs w:val="24"/>
        </w:rPr>
        <w:t xml:space="preserve">. </w:t>
      </w:r>
      <w:r w:rsidR="00424C13">
        <w:rPr>
          <w:sz w:val="24"/>
          <w:szCs w:val="24"/>
        </w:rPr>
        <w:t xml:space="preserve">Aus dem </w:t>
      </w:r>
      <w:r>
        <w:rPr>
          <w:sz w:val="24"/>
          <w:szCs w:val="24"/>
        </w:rPr>
        <w:t xml:space="preserve">Satz </w:t>
      </w:r>
      <w:r w:rsidR="00424C13">
        <w:rPr>
          <w:sz w:val="24"/>
          <w:szCs w:val="24"/>
        </w:rPr>
        <w:t>folg</w:t>
      </w:r>
      <w:r>
        <w:rPr>
          <w:sz w:val="24"/>
          <w:szCs w:val="24"/>
        </w:rPr>
        <w:t xml:space="preserve">t nichts </w:t>
      </w:r>
      <w:r w:rsidR="00424C13">
        <w:rPr>
          <w:sz w:val="24"/>
          <w:szCs w:val="24"/>
        </w:rPr>
        <w:t>Geringeres</w:t>
      </w:r>
      <w:r>
        <w:rPr>
          <w:sz w:val="24"/>
          <w:szCs w:val="24"/>
        </w:rPr>
        <w:t>, als dass die Arbeiterklasse</w:t>
      </w:r>
      <w:r w:rsidR="00291B33">
        <w:rPr>
          <w:sz w:val="24"/>
          <w:szCs w:val="24"/>
        </w:rPr>
        <w:t xml:space="preserve"> </w:t>
      </w:r>
      <w:r w:rsidR="00497A77">
        <w:rPr>
          <w:sz w:val="24"/>
          <w:szCs w:val="24"/>
        </w:rPr>
        <w:t xml:space="preserve">– </w:t>
      </w:r>
      <w:r w:rsidR="00497A77" w:rsidRPr="00497A77">
        <w:rPr>
          <w:i/>
          <w:sz w:val="24"/>
          <w:szCs w:val="24"/>
        </w:rPr>
        <w:t>und</w:t>
      </w:r>
      <w:r w:rsidRPr="00497A77">
        <w:rPr>
          <w:i/>
          <w:sz w:val="24"/>
          <w:szCs w:val="24"/>
        </w:rPr>
        <w:t xml:space="preserve"> </w:t>
      </w:r>
      <w:r w:rsidRPr="00BB6AEB">
        <w:rPr>
          <w:i/>
          <w:sz w:val="24"/>
          <w:szCs w:val="24"/>
        </w:rPr>
        <w:t>ihre Partei: die KPD</w:t>
      </w:r>
      <w:r w:rsidR="00497A77">
        <w:rPr>
          <w:i/>
          <w:sz w:val="24"/>
          <w:szCs w:val="24"/>
        </w:rPr>
        <w:t xml:space="preserve"> </w:t>
      </w:r>
      <w:r w:rsidR="00497A77">
        <w:rPr>
          <w:sz w:val="24"/>
          <w:szCs w:val="24"/>
        </w:rPr>
        <w:t>– d</w:t>
      </w:r>
      <w:r>
        <w:rPr>
          <w:sz w:val="24"/>
          <w:szCs w:val="24"/>
        </w:rPr>
        <w:t xml:space="preserve">as </w:t>
      </w:r>
      <w:r w:rsidR="00497A77">
        <w:rPr>
          <w:sz w:val="24"/>
          <w:szCs w:val="24"/>
        </w:rPr>
        <w:t xml:space="preserve">historische </w:t>
      </w:r>
      <w:r>
        <w:rPr>
          <w:sz w:val="24"/>
          <w:szCs w:val="24"/>
        </w:rPr>
        <w:t>Urteil über die Bede</w:t>
      </w:r>
      <w:r>
        <w:rPr>
          <w:sz w:val="24"/>
          <w:szCs w:val="24"/>
        </w:rPr>
        <w:t>u</w:t>
      </w:r>
      <w:r>
        <w:rPr>
          <w:sz w:val="24"/>
          <w:szCs w:val="24"/>
        </w:rPr>
        <w:t>tung diese</w:t>
      </w:r>
      <w:r w:rsidR="00BB6AEB">
        <w:rPr>
          <w:sz w:val="24"/>
          <w:szCs w:val="24"/>
        </w:rPr>
        <w:t>r</w:t>
      </w:r>
      <w:r>
        <w:rPr>
          <w:sz w:val="24"/>
          <w:szCs w:val="24"/>
        </w:rPr>
        <w:t xml:space="preserve"> Schriftsteller fäll</w:t>
      </w:r>
      <w:r w:rsidR="00424C13">
        <w:rPr>
          <w:sz w:val="24"/>
          <w:szCs w:val="24"/>
        </w:rPr>
        <w:t>en wird</w:t>
      </w:r>
      <w:r>
        <w:rPr>
          <w:sz w:val="24"/>
          <w:szCs w:val="24"/>
        </w:rPr>
        <w:t xml:space="preserve">. </w:t>
      </w:r>
      <w:r w:rsidR="00F713B4">
        <w:rPr>
          <w:sz w:val="24"/>
          <w:szCs w:val="24"/>
        </w:rPr>
        <w:t xml:space="preserve">Das von Becher propagierte </w:t>
      </w:r>
      <w:r>
        <w:rPr>
          <w:sz w:val="24"/>
          <w:szCs w:val="24"/>
        </w:rPr>
        <w:t>„</w:t>
      </w:r>
      <w:r w:rsidR="00F713B4">
        <w:rPr>
          <w:sz w:val="24"/>
          <w:szCs w:val="24"/>
        </w:rPr>
        <w:t xml:space="preserve">Große </w:t>
      </w:r>
      <w:r>
        <w:rPr>
          <w:sz w:val="24"/>
          <w:szCs w:val="24"/>
        </w:rPr>
        <w:t>Bündnis“</w:t>
      </w:r>
      <w:r w:rsidR="00424C13">
        <w:rPr>
          <w:sz w:val="24"/>
          <w:szCs w:val="24"/>
        </w:rPr>
        <w:t>, so der Titel seiner Kongressrede,</w:t>
      </w:r>
      <w:r>
        <w:rPr>
          <w:sz w:val="24"/>
          <w:szCs w:val="24"/>
        </w:rPr>
        <w:t xml:space="preserve"> </w:t>
      </w:r>
      <w:r w:rsidR="00F713B4">
        <w:rPr>
          <w:sz w:val="24"/>
          <w:szCs w:val="24"/>
        </w:rPr>
        <w:t>wird</w:t>
      </w:r>
      <w:r w:rsidR="004F317D">
        <w:rPr>
          <w:sz w:val="24"/>
          <w:szCs w:val="24"/>
        </w:rPr>
        <w:t xml:space="preserve"> </w:t>
      </w:r>
      <w:r w:rsidR="00424C13">
        <w:rPr>
          <w:sz w:val="24"/>
          <w:szCs w:val="24"/>
        </w:rPr>
        <w:t xml:space="preserve"> </w:t>
      </w:r>
      <w:r w:rsidR="004F317D">
        <w:rPr>
          <w:sz w:val="24"/>
          <w:szCs w:val="24"/>
        </w:rPr>
        <w:t>unter solchen Umständen</w:t>
      </w:r>
      <w:r w:rsidR="00F713B4">
        <w:rPr>
          <w:sz w:val="24"/>
          <w:szCs w:val="24"/>
        </w:rPr>
        <w:t xml:space="preserve"> zur</w:t>
      </w:r>
      <w:r w:rsidR="004F317D">
        <w:rPr>
          <w:sz w:val="24"/>
          <w:szCs w:val="24"/>
        </w:rPr>
        <w:t xml:space="preserve"> Phrase</w:t>
      </w:r>
      <w:r>
        <w:rPr>
          <w:sz w:val="24"/>
          <w:szCs w:val="24"/>
        </w:rPr>
        <w:t>.</w:t>
      </w:r>
    </w:p>
    <w:p w:rsidR="00497A77" w:rsidRPr="00F83771" w:rsidRDefault="00497A77" w:rsidP="001D2105">
      <w:pPr>
        <w:spacing w:after="0"/>
        <w:ind w:firstLine="708"/>
        <w:jc w:val="both"/>
        <w:rPr>
          <w:sz w:val="24"/>
          <w:szCs w:val="24"/>
        </w:rPr>
      </w:pPr>
    </w:p>
    <w:p w:rsidR="00697A32" w:rsidRDefault="00F83771" w:rsidP="001D2105">
      <w:pPr>
        <w:spacing w:after="0"/>
        <w:jc w:val="both"/>
        <w:rPr>
          <w:sz w:val="24"/>
          <w:szCs w:val="24"/>
        </w:rPr>
      </w:pPr>
      <w:r>
        <w:rPr>
          <w:sz w:val="24"/>
          <w:szCs w:val="24"/>
        </w:rPr>
        <w:tab/>
      </w:r>
      <w:r w:rsidR="00F713B4">
        <w:rPr>
          <w:sz w:val="24"/>
          <w:szCs w:val="24"/>
        </w:rPr>
        <w:t>Der Kongress</w:t>
      </w:r>
      <w:r w:rsidR="00424C13">
        <w:rPr>
          <w:sz w:val="24"/>
          <w:szCs w:val="24"/>
        </w:rPr>
        <w:t>, die Reden und das Umfeld des Kongresses</w:t>
      </w:r>
      <w:r w:rsidR="00F713B4">
        <w:rPr>
          <w:sz w:val="24"/>
          <w:szCs w:val="24"/>
        </w:rPr>
        <w:t xml:space="preserve"> wurde</w:t>
      </w:r>
      <w:r w:rsidR="00682394">
        <w:rPr>
          <w:sz w:val="24"/>
          <w:szCs w:val="24"/>
        </w:rPr>
        <w:t>n</w:t>
      </w:r>
      <w:r w:rsidR="00F713B4">
        <w:rPr>
          <w:sz w:val="24"/>
          <w:szCs w:val="24"/>
        </w:rPr>
        <w:t xml:space="preserve"> von</w:t>
      </w:r>
      <w:r w:rsidR="00D469C5">
        <w:rPr>
          <w:sz w:val="24"/>
          <w:szCs w:val="24"/>
        </w:rPr>
        <w:t xml:space="preserve"> Oskar Maria Graf </w:t>
      </w:r>
      <w:r w:rsidR="00F713B4">
        <w:rPr>
          <w:sz w:val="24"/>
          <w:szCs w:val="24"/>
        </w:rPr>
        <w:t xml:space="preserve">wie von Klaus Mann mit gewisser </w:t>
      </w:r>
      <w:r w:rsidR="00424C13">
        <w:rPr>
          <w:sz w:val="24"/>
          <w:szCs w:val="24"/>
        </w:rPr>
        <w:t>Distanz kommentiert</w:t>
      </w:r>
      <w:r w:rsidR="00D469C5">
        <w:rPr>
          <w:sz w:val="24"/>
          <w:szCs w:val="24"/>
        </w:rPr>
        <w:t>.</w:t>
      </w:r>
      <w:r w:rsidR="007C1DD3">
        <w:rPr>
          <w:rStyle w:val="Funotenzeichen"/>
          <w:sz w:val="24"/>
          <w:szCs w:val="24"/>
        </w:rPr>
        <w:footnoteReference w:id="32"/>
      </w:r>
      <w:r w:rsidR="00D469C5">
        <w:rPr>
          <w:sz w:val="24"/>
          <w:szCs w:val="24"/>
        </w:rPr>
        <w:t xml:space="preserve"> </w:t>
      </w:r>
      <w:r w:rsidR="00D16C5F">
        <w:rPr>
          <w:sz w:val="24"/>
          <w:szCs w:val="24"/>
        </w:rPr>
        <w:t xml:space="preserve">Insbesondere Oskar Maria Graf hat mit seiner </w:t>
      </w:r>
      <w:r w:rsidR="00D16C5F">
        <w:rPr>
          <w:i/>
          <w:sz w:val="24"/>
          <w:szCs w:val="24"/>
        </w:rPr>
        <w:t>Reise in die Sowjetunion 1934</w:t>
      </w:r>
      <w:r w:rsidR="00D16C5F" w:rsidRPr="004B19C4">
        <w:rPr>
          <w:rStyle w:val="Funotenzeichen"/>
          <w:sz w:val="24"/>
          <w:szCs w:val="24"/>
        </w:rPr>
        <w:footnoteReference w:id="33"/>
      </w:r>
      <w:r w:rsidR="004B19C4">
        <w:rPr>
          <w:sz w:val="24"/>
          <w:szCs w:val="24"/>
        </w:rPr>
        <w:t xml:space="preserve"> einen hintersinnigen, ebenso scharfsi</w:t>
      </w:r>
      <w:r w:rsidR="00497A77">
        <w:rPr>
          <w:sz w:val="24"/>
          <w:szCs w:val="24"/>
        </w:rPr>
        <w:t>cht</w:t>
      </w:r>
      <w:r w:rsidR="004B19C4">
        <w:rPr>
          <w:sz w:val="24"/>
          <w:szCs w:val="24"/>
        </w:rPr>
        <w:t xml:space="preserve">ig wie doppelbödigen Bericht verfasst. </w:t>
      </w:r>
      <w:r w:rsidR="00424C13">
        <w:rPr>
          <w:sz w:val="24"/>
          <w:szCs w:val="24"/>
        </w:rPr>
        <w:t>Sein Eindruck deckt sich in vielem</w:t>
      </w:r>
      <w:r w:rsidR="00F713B4">
        <w:rPr>
          <w:sz w:val="24"/>
          <w:szCs w:val="24"/>
        </w:rPr>
        <w:t xml:space="preserve"> </w:t>
      </w:r>
      <w:r w:rsidR="00424C13">
        <w:rPr>
          <w:sz w:val="24"/>
          <w:szCs w:val="24"/>
        </w:rPr>
        <w:t xml:space="preserve">mit dem von </w:t>
      </w:r>
      <w:r w:rsidR="00F713B4">
        <w:rPr>
          <w:sz w:val="24"/>
          <w:szCs w:val="24"/>
        </w:rPr>
        <w:t xml:space="preserve">Joseph </w:t>
      </w:r>
      <w:r w:rsidR="00497A77">
        <w:rPr>
          <w:sz w:val="24"/>
          <w:szCs w:val="24"/>
        </w:rPr>
        <w:t>Roth</w:t>
      </w:r>
      <w:r w:rsidR="004B19C4">
        <w:rPr>
          <w:sz w:val="24"/>
          <w:szCs w:val="24"/>
        </w:rPr>
        <w:t>: Die exilierten deutschen Schriftsteller, die von ihren Honoraren kaum leben und existi</w:t>
      </w:r>
      <w:r w:rsidR="004B19C4">
        <w:rPr>
          <w:sz w:val="24"/>
          <w:szCs w:val="24"/>
        </w:rPr>
        <w:t>e</w:t>
      </w:r>
      <w:r w:rsidR="004B19C4">
        <w:rPr>
          <w:sz w:val="24"/>
          <w:szCs w:val="24"/>
        </w:rPr>
        <w:t>ren k</w:t>
      </w:r>
      <w:r w:rsidR="00291B33">
        <w:rPr>
          <w:sz w:val="24"/>
          <w:szCs w:val="24"/>
        </w:rPr>
        <w:t>o</w:t>
      </w:r>
      <w:r w:rsidR="004B19C4">
        <w:rPr>
          <w:sz w:val="24"/>
          <w:szCs w:val="24"/>
        </w:rPr>
        <w:t>nn</w:t>
      </w:r>
      <w:r w:rsidR="00291B33">
        <w:rPr>
          <w:sz w:val="24"/>
          <w:szCs w:val="24"/>
        </w:rPr>
        <w:t>t</w:t>
      </w:r>
      <w:r w:rsidR="004B19C4">
        <w:rPr>
          <w:sz w:val="24"/>
          <w:szCs w:val="24"/>
        </w:rPr>
        <w:t>en, in ihren Aufnahmeländern unter ständiger Kontrolle st</w:t>
      </w:r>
      <w:r w:rsidR="00291B33">
        <w:rPr>
          <w:sz w:val="24"/>
          <w:szCs w:val="24"/>
        </w:rPr>
        <w:t>and</w:t>
      </w:r>
      <w:r w:rsidR="004B19C4">
        <w:rPr>
          <w:sz w:val="24"/>
          <w:szCs w:val="24"/>
        </w:rPr>
        <w:t xml:space="preserve">en, sich mit den </w:t>
      </w:r>
      <w:r w:rsidR="00424C13">
        <w:rPr>
          <w:sz w:val="24"/>
          <w:szCs w:val="24"/>
        </w:rPr>
        <w:t>dort</w:t>
      </w:r>
      <w:r w:rsidR="00424C13">
        <w:rPr>
          <w:sz w:val="24"/>
          <w:szCs w:val="24"/>
        </w:rPr>
        <w:t>i</w:t>
      </w:r>
      <w:r w:rsidR="00424C13">
        <w:rPr>
          <w:sz w:val="24"/>
          <w:szCs w:val="24"/>
        </w:rPr>
        <w:t xml:space="preserve">gen </w:t>
      </w:r>
      <w:r w:rsidR="004B19C4">
        <w:rPr>
          <w:sz w:val="24"/>
          <w:szCs w:val="24"/>
        </w:rPr>
        <w:t>Behörden um Aufenthaltsgenehmigungen und Reiseerlaubnis</w:t>
      </w:r>
      <w:r w:rsidR="00424C13">
        <w:rPr>
          <w:sz w:val="24"/>
          <w:szCs w:val="24"/>
        </w:rPr>
        <w:t>se</w:t>
      </w:r>
      <w:r w:rsidR="004B19C4">
        <w:rPr>
          <w:sz w:val="24"/>
          <w:szCs w:val="24"/>
        </w:rPr>
        <w:t xml:space="preserve"> herumschlagen m</w:t>
      </w:r>
      <w:r w:rsidR="00291B33">
        <w:rPr>
          <w:sz w:val="24"/>
          <w:szCs w:val="24"/>
        </w:rPr>
        <w:t>u</w:t>
      </w:r>
      <w:r w:rsidR="004B19C4">
        <w:rPr>
          <w:sz w:val="24"/>
          <w:szCs w:val="24"/>
        </w:rPr>
        <w:t>ss</w:t>
      </w:r>
      <w:r w:rsidR="00291B33">
        <w:rPr>
          <w:sz w:val="24"/>
          <w:szCs w:val="24"/>
        </w:rPr>
        <w:t>t</w:t>
      </w:r>
      <w:r w:rsidR="004B19C4">
        <w:rPr>
          <w:sz w:val="24"/>
          <w:szCs w:val="24"/>
        </w:rPr>
        <w:t>en – sie</w:t>
      </w:r>
      <w:r w:rsidR="00497A77">
        <w:rPr>
          <w:sz w:val="24"/>
          <w:szCs w:val="24"/>
        </w:rPr>
        <w:t xml:space="preserve"> </w:t>
      </w:r>
      <w:r w:rsidR="00291B33">
        <w:rPr>
          <w:sz w:val="24"/>
          <w:szCs w:val="24"/>
        </w:rPr>
        <w:t xml:space="preserve">waren </w:t>
      </w:r>
      <w:r w:rsidR="00497A77">
        <w:rPr>
          <w:sz w:val="24"/>
          <w:szCs w:val="24"/>
        </w:rPr>
        <w:t>plötzlich</w:t>
      </w:r>
      <w:r w:rsidR="004B19C4">
        <w:rPr>
          <w:sz w:val="24"/>
          <w:szCs w:val="24"/>
        </w:rPr>
        <w:t xml:space="preserve"> </w:t>
      </w:r>
      <w:r w:rsidR="00497A77">
        <w:rPr>
          <w:sz w:val="24"/>
          <w:szCs w:val="24"/>
        </w:rPr>
        <w:t>in den besten Hotels untergebracht</w:t>
      </w:r>
      <w:r w:rsidR="00F713B4">
        <w:rPr>
          <w:sz w:val="24"/>
          <w:szCs w:val="24"/>
        </w:rPr>
        <w:t xml:space="preserve"> und s</w:t>
      </w:r>
      <w:r w:rsidR="00291B33">
        <w:rPr>
          <w:sz w:val="24"/>
          <w:szCs w:val="24"/>
        </w:rPr>
        <w:t>a</w:t>
      </w:r>
      <w:r w:rsidR="00F713B4">
        <w:rPr>
          <w:sz w:val="24"/>
          <w:szCs w:val="24"/>
        </w:rPr>
        <w:t>hen</w:t>
      </w:r>
      <w:r w:rsidR="004B19C4">
        <w:rPr>
          <w:sz w:val="24"/>
          <w:szCs w:val="24"/>
        </w:rPr>
        <w:t xml:space="preserve"> sich als Staatsgäste </w:t>
      </w:r>
      <w:r w:rsidR="00F713B4">
        <w:rPr>
          <w:sz w:val="24"/>
          <w:szCs w:val="24"/>
        </w:rPr>
        <w:t xml:space="preserve">wie </w:t>
      </w:r>
      <w:r w:rsidR="004B19C4">
        <w:rPr>
          <w:sz w:val="24"/>
          <w:szCs w:val="24"/>
        </w:rPr>
        <w:t>durch publizistische Aufmerksamkeit geehrt</w:t>
      </w:r>
      <w:r w:rsidR="00424C13">
        <w:rPr>
          <w:sz w:val="24"/>
          <w:szCs w:val="24"/>
        </w:rPr>
        <w:t>. Das verändert</w:t>
      </w:r>
      <w:r w:rsidR="00291B33">
        <w:rPr>
          <w:sz w:val="24"/>
          <w:szCs w:val="24"/>
        </w:rPr>
        <w:t>e</w:t>
      </w:r>
      <w:r w:rsidR="00424C13">
        <w:rPr>
          <w:sz w:val="24"/>
          <w:szCs w:val="24"/>
        </w:rPr>
        <w:t xml:space="preserve"> ihre Stimmung, verdrängt</w:t>
      </w:r>
      <w:r w:rsidR="00291B33">
        <w:rPr>
          <w:sz w:val="24"/>
          <w:szCs w:val="24"/>
        </w:rPr>
        <w:t>e</w:t>
      </w:r>
      <w:r w:rsidR="00424C13">
        <w:rPr>
          <w:sz w:val="24"/>
          <w:szCs w:val="24"/>
        </w:rPr>
        <w:t xml:space="preserve"> die Realität</w:t>
      </w:r>
      <w:r w:rsidR="004B19C4">
        <w:rPr>
          <w:sz w:val="24"/>
          <w:szCs w:val="24"/>
        </w:rPr>
        <w:t>:</w:t>
      </w:r>
    </w:p>
    <w:p w:rsidR="004B19C4" w:rsidRPr="004B19C4" w:rsidRDefault="004B19C4" w:rsidP="001D2105">
      <w:pPr>
        <w:spacing w:after="0"/>
        <w:ind w:left="1134"/>
        <w:jc w:val="both"/>
        <w:rPr>
          <w:sz w:val="24"/>
          <w:szCs w:val="24"/>
        </w:rPr>
      </w:pPr>
      <w:r>
        <w:rPr>
          <w:sz w:val="24"/>
          <w:szCs w:val="24"/>
        </w:rPr>
        <w:t>„Da sahen wir uns also alle wi</w:t>
      </w:r>
      <w:r w:rsidR="007C1DD3">
        <w:rPr>
          <w:sz w:val="24"/>
          <w:szCs w:val="24"/>
        </w:rPr>
        <w:t>e</w:t>
      </w:r>
      <w:r>
        <w:rPr>
          <w:sz w:val="24"/>
          <w:szCs w:val="24"/>
        </w:rPr>
        <w:t xml:space="preserve">der, wir ehemaligen </w:t>
      </w:r>
      <w:proofErr w:type="spellStart"/>
      <w:r>
        <w:rPr>
          <w:sz w:val="24"/>
          <w:szCs w:val="24"/>
        </w:rPr>
        <w:t>Bohèmiens</w:t>
      </w:r>
      <w:proofErr w:type="spellEnd"/>
      <w:r>
        <w:rPr>
          <w:sz w:val="24"/>
          <w:szCs w:val="24"/>
        </w:rPr>
        <w:t>, wir intell</w:t>
      </w:r>
      <w:r w:rsidR="00103EE0">
        <w:rPr>
          <w:sz w:val="24"/>
          <w:szCs w:val="24"/>
        </w:rPr>
        <w:t>e</w:t>
      </w:r>
      <w:r>
        <w:rPr>
          <w:sz w:val="24"/>
          <w:szCs w:val="24"/>
        </w:rPr>
        <w:t>k</w:t>
      </w:r>
      <w:r w:rsidR="00103EE0">
        <w:rPr>
          <w:sz w:val="24"/>
          <w:szCs w:val="24"/>
        </w:rPr>
        <w:t>tue</w:t>
      </w:r>
      <w:r w:rsidR="00103EE0">
        <w:rPr>
          <w:sz w:val="24"/>
          <w:szCs w:val="24"/>
        </w:rPr>
        <w:t>l</w:t>
      </w:r>
      <w:r w:rsidR="00103EE0">
        <w:rPr>
          <w:sz w:val="24"/>
          <w:szCs w:val="24"/>
        </w:rPr>
        <w:t>len Revolutionäre aller Schattierungen, wir verschwiegenen Romantiker, wir Abenteurer im Geist und heimlichen Spießbürger im Leben, wir versprengten, verfemten, emigrierten Schriftsteller, die der Hitlerismus in alle Windrichtungen der Welt verschlagen hatte! Da saßen wir wieder, in einem Sowjethotel, überm</w:t>
      </w:r>
      <w:r w:rsidR="00103EE0">
        <w:rPr>
          <w:sz w:val="24"/>
          <w:szCs w:val="24"/>
        </w:rPr>
        <w:t>ü</w:t>
      </w:r>
      <w:r w:rsidR="00103EE0">
        <w:rPr>
          <w:sz w:val="24"/>
          <w:szCs w:val="24"/>
        </w:rPr>
        <w:lastRenderedPageBreak/>
        <w:t>tig wie ehemals, wie leicht berauscht durch dieses Wiedersehen, neubelebt auf einmal und einander mit schonungslosem Sarkasmus verspottend, wortfindig und witzgewand. Soviel auch Unbekannte dazukommen und sich zu uns gesellen mochten, jeder gehörte vom ersten Augenblick dazu.“</w:t>
      </w:r>
      <w:r w:rsidR="00103EE0">
        <w:rPr>
          <w:rStyle w:val="Funotenzeichen"/>
          <w:sz w:val="24"/>
          <w:szCs w:val="24"/>
        </w:rPr>
        <w:footnoteReference w:id="34"/>
      </w:r>
    </w:p>
    <w:p w:rsidR="008A41F5" w:rsidRDefault="00EA5307" w:rsidP="001D2105">
      <w:pPr>
        <w:spacing w:after="0"/>
        <w:jc w:val="both"/>
        <w:rPr>
          <w:sz w:val="24"/>
          <w:szCs w:val="24"/>
        </w:rPr>
      </w:pPr>
      <w:r>
        <w:rPr>
          <w:sz w:val="24"/>
          <w:szCs w:val="24"/>
        </w:rPr>
        <w:t xml:space="preserve">Zumindest Graf war sich durchaus im Klaren darüber, dass </w:t>
      </w:r>
      <w:r w:rsidR="00424C13">
        <w:rPr>
          <w:sz w:val="24"/>
          <w:szCs w:val="24"/>
        </w:rPr>
        <w:t xml:space="preserve">es sich bei der </w:t>
      </w:r>
      <w:r>
        <w:rPr>
          <w:sz w:val="24"/>
          <w:szCs w:val="24"/>
        </w:rPr>
        <w:t xml:space="preserve">Veranstaltung </w:t>
      </w:r>
      <w:r w:rsidR="00424C13">
        <w:rPr>
          <w:sz w:val="24"/>
          <w:szCs w:val="24"/>
        </w:rPr>
        <w:t xml:space="preserve">um </w:t>
      </w:r>
      <w:r>
        <w:rPr>
          <w:sz w:val="24"/>
          <w:szCs w:val="24"/>
        </w:rPr>
        <w:t xml:space="preserve">eine theatralische Inszenierung </w:t>
      </w:r>
      <w:r w:rsidR="00424C13">
        <w:rPr>
          <w:sz w:val="24"/>
          <w:szCs w:val="24"/>
        </w:rPr>
        <w:t>handelte</w:t>
      </w:r>
      <w:r>
        <w:rPr>
          <w:sz w:val="24"/>
          <w:szCs w:val="24"/>
        </w:rPr>
        <w:t>. Sie</w:t>
      </w:r>
      <w:r w:rsidR="00F713B4">
        <w:rPr>
          <w:sz w:val="24"/>
          <w:szCs w:val="24"/>
        </w:rPr>
        <w:t xml:space="preserve"> </w:t>
      </w:r>
      <w:r w:rsidR="00CB4BED">
        <w:rPr>
          <w:sz w:val="24"/>
          <w:szCs w:val="24"/>
        </w:rPr>
        <w:t xml:space="preserve">war wirklichkeitsfern, </w:t>
      </w:r>
      <w:r>
        <w:rPr>
          <w:sz w:val="24"/>
          <w:szCs w:val="24"/>
        </w:rPr>
        <w:t>aber</w:t>
      </w:r>
      <w:r w:rsidR="00F713B4">
        <w:rPr>
          <w:sz w:val="24"/>
          <w:szCs w:val="24"/>
        </w:rPr>
        <w:t xml:space="preserve"> </w:t>
      </w:r>
      <w:r>
        <w:rPr>
          <w:sz w:val="24"/>
          <w:szCs w:val="24"/>
        </w:rPr>
        <w:t xml:space="preserve">gerade deshalb ein </w:t>
      </w:r>
      <w:r w:rsidR="00CB4BED">
        <w:rPr>
          <w:sz w:val="24"/>
          <w:szCs w:val="24"/>
        </w:rPr>
        <w:t xml:space="preserve">emotionales </w:t>
      </w:r>
      <w:r>
        <w:rPr>
          <w:sz w:val="24"/>
          <w:szCs w:val="24"/>
        </w:rPr>
        <w:t>Stimulans:</w:t>
      </w:r>
    </w:p>
    <w:p w:rsidR="00EA5307" w:rsidRDefault="00EA5307" w:rsidP="001D2105">
      <w:pPr>
        <w:spacing w:after="0"/>
        <w:ind w:left="1134"/>
        <w:jc w:val="both"/>
        <w:rPr>
          <w:sz w:val="24"/>
          <w:szCs w:val="24"/>
        </w:rPr>
      </w:pPr>
      <w:r>
        <w:rPr>
          <w:sz w:val="24"/>
          <w:szCs w:val="24"/>
        </w:rPr>
        <w:t>„</w:t>
      </w:r>
      <w:proofErr w:type="spellStart"/>
      <w:r>
        <w:rPr>
          <w:sz w:val="24"/>
          <w:szCs w:val="24"/>
        </w:rPr>
        <w:t>Gewiß</w:t>
      </w:r>
      <w:proofErr w:type="spellEnd"/>
      <w:r>
        <w:rPr>
          <w:sz w:val="24"/>
          <w:szCs w:val="24"/>
        </w:rPr>
        <w:t xml:space="preserve"> w</w:t>
      </w:r>
      <w:r w:rsidR="00DA1D5C">
        <w:rPr>
          <w:sz w:val="24"/>
          <w:szCs w:val="24"/>
        </w:rPr>
        <w:t>a</w:t>
      </w:r>
      <w:r>
        <w:rPr>
          <w:sz w:val="24"/>
          <w:szCs w:val="24"/>
        </w:rPr>
        <w:t xml:space="preserve">r der </w:t>
      </w:r>
      <w:proofErr w:type="spellStart"/>
      <w:r>
        <w:rPr>
          <w:sz w:val="24"/>
          <w:szCs w:val="24"/>
        </w:rPr>
        <w:t>Unionskongreß</w:t>
      </w:r>
      <w:proofErr w:type="spellEnd"/>
      <w:r>
        <w:rPr>
          <w:sz w:val="24"/>
          <w:szCs w:val="24"/>
        </w:rPr>
        <w:t xml:space="preserve"> eine grandiose Aussprache der Intellektuellen über die vermeintliche Sendung der Dichtung, über die Idee des Humanen in der Literatur</w:t>
      </w:r>
      <w:r w:rsidR="00BF506A">
        <w:rPr>
          <w:sz w:val="24"/>
          <w:szCs w:val="24"/>
        </w:rPr>
        <w:t>, über Wortkunst, über Inhalt, Gestaltung und Form des Dramas, des Romans und der Lyrik. Nirgendwo sonst hätten meine mitverfemten, mitemigrie</w:t>
      </w:r>
      <w:r w:rsidR="00BF506A">
        <w:rPr>
          <w:sz w:val="24"/>
          <w:szCs w:val="24"/>
        </w:rPr>
        <w:t>r</w:t>
      </w:r>
      <w:r w:rsidR="00BF506A">
        <w:rPr>
          <w:sz w:val="24"/>
          <w:szCs w:val="24"/>
        </w:rPr>
        <w:t xml:space="preserve">ten, ausgebürgerten deutschen Kameraden solche Reden halten können. Es waren Reden der Bedrängnis und der Freundschaft, sehr unterschiedlich und nicht immer ausgesprochen gescheit, aber mitunter – wie diejenige </w:t>
      </w:r>
      <w:proofErr w:type="spellStart"/>
      <w:r w:rsidR="00BF506A">
        <w:rPr>
          <w:sz w:val="24"/>
          <w:szCs w:val="24"/>
        </w:rPr>
        <w:t>Bredels</w:t>
      </w:r>
      <w:proofErr w:type="spellEnd"/>
      <w:r w:rsidR="00BF506A">
        <w:rPr>
          <w:sz w:val="24"/>
          <w:szCs w:val="24"/>
        </w:rPr>
        <w:t xml:space="preserve"> – von fast ergre</w:t>
      </w:r>
      <w:r w:rsidR="00BF506A">
        <w:rPr>
          <w:sz w:val="24"/>
          <w:szCs w:val="24"/>
        </w:rPr>
        <w:t>i</w:t>
      </w:r>
      <w:r w:rsidR="00BF506A">
        <w:rPr>
          <w:sz w:val="24"/>
          <w:szCs w:val="24"/>
        </w:rPr>
        <w:t>fender Überzeugungskraft. Für Dänemark und die nordischen Länder sprach n</w:t>
      </w:r>
      <w:r w:rsidR="00BF506A">
        <w:rPr>
          <w:sz w:val="24"/>
          <w:szCs w:val="24"/>
        </w:rPr>
        <w:t>e</w:t>
      </w:r>
      <w:r w:rsidR="00BF506A">
        <w:rPr>
          <w:sz w:val="24"/>
          <w:szCs w:val="24"/>
        </w:rPr>
        <w:t>ben anderen der liebenswerte, weißhaarige Martin Andersen-</w:t>
      </w:r>
      <w:proofErr w:type="spellStart"/>
      <w:r w:rsidR="00BF506A">
        <w:rPr>
          <w:sz w:val="24"/>
          <w:szCs w:val="24"/>
        </w:rPr>
        <w:t>Nexö</w:t>
      </w:r>
      <w:proofErr w:type="spellEnd"/>
      <w:r w:rsidR="00BF506A">
        <w:rPr>
          <w:sz w:val="24"/>
          <w:szCs w:val="24"/>
        </w:rPr>
        <w:t>. Was er vo</w:t>
      </w:r>
      <w:r w:rsidR="00BF506A">
        <w:rPr>
          <w:sz w:val="24"/>
          <w:szCs w:val="24"/>
        </w:rPr>
        <w:t>r</w:t>
      </w:r>
      <w:r w:rsidR="00BF506A">
        <w:rPr>
          <w:sz w:val="24"/>
          <w:szCs w:val="24"/>
        </w:rPr>
        <w:t>brachte war nur eine warme Huldigung, aber mir ging das Herz auf, als ich ihn hier wiedersah. Brüderlich drückten wir einander die Hände. Beide waren wir b</w:t>
      </w:r>
      <w:r w:rsidR="00BF506A">
        <w:rPr>
          <w:sz w:val="24"/>
          <w:szCs w:val="24"/>
        </w:rPr>
        <w:t>e</w:t>
      </w:r>
      <w:r w:rsidR="00BF506A">
        <w:rPr>
          <w:sz w:val="24"/>
          <w:szCs w:val="24"/>
        </w:rPr>
        <w:t>wegt. ‚Neue Menschen hier! Eine neue Welt</w:t>
      </w:r>
      <w:proofErr w:type="gramStart"/>
      <w:r w:rsidR="00BF506A">
        <w:rPr>
          <w:sz w:val="24"/>
          <w:szCs w:val="24"/>
        </w:rPr>
        <w:t>!‘</w:t>
      </w:r>
      <w:proofErr w:type="gramEnd"/>
      <w:r w:rsidR="00BF506A">
        <w:rPr>
          <w:sz w:val="24"/>
          <w:szCs w:val="24"/>
        </w:rPr>
        <w:t xml:space="preserve"> sagte der Alte und seine Augen leuchteten. Die bäuerlich gedrungene, massive Figur, die derben Hände, das bar</w:t>
      </w:r>
      <w:r w:rsidR="00BF506A">
        <w:rPr>
          <w:sz w:val="24"/>
          <w:szCs w:val="24"/>
        </w:rPr>
        <w:t>t</w:t>
      </w:r>
      <w:r w:rsidR="00BF506A">
        <w:rPr>
          <w:sz w:val="24"/>
          <w:szCs w:val="24"/>
        </w:rPr>
        <w:t>lose, robust-gesunde, breite, an einen behäbigen Landpfarrer gemahnende Gesicht mit den à la Schopenhauer auseinander strahlenden, dünnen Haaren – alles war noch wie immer.“</w:t>
      </w:r>
      <w:r w:rsidR="00BF506A">
        <w:rPr>
          <w:rStyle w:val="Funotenzeichen"/>
          <w:sz w:val="24"/>
          <w:szCs w:val="24"/>
        </w:rPr>
        <w:footnoteReference w:id="35"/>
      </w:r>
    </w:p>
    <w:p w:rsidR="002F7638" w:rsidRDefault="001A0EE2" w:rsidP="001D2105">
      <w:pPr>
        <w:spacing w:after="0"/>
        <w:jc w:val="both"/>
        <w:rPr>
          <w:sz w:val="24"/>
          <w:szCs w:val="24"/>
        </w:rPr>
      </w:pPr>
      <w:r w:rsidRPr="00DA1D5C">
        <w:rPr>
          <w:i/>
          <w:sz w:val="24"/>
          <w:szCs w:val="24"/>
        </w:rPr>
        <w:t>„A[a]</w:t>
      </w:r>
      <w:proofErr w:type="spellStart"/>
      <w:r w:rsidRPr="00DA1D5C">
        <w:rPr>
          <w:i/>
          <w:sz w:val="24"/>
          <w:szCs w:val="24"/>
        </w:rPr>
        <w:t>lles</w:t>
      </w:r>
      <w:proofErr w:type="spellEnd"/>
      <w:r w:rsidRPr="00DA1D5C">
        <w:rPr>
          <w:i/>
          <w:sz w:val="24"/>
          <w:szCs w:val="24"/>
        </w:rPr>
        <w:t xml:space="preserve"> war noch wie immer“</w:t>
      </w:r>
      <w:r>
        <w:rPr>
          <w:sz w:val="24"/>
          <w:szCs w:val="24"/>
        </w:rPr>
        <w:t xml:space="preserve"> – prägnant</w:t>
      </w:r>
      <w:r w:rsidR="000F68A6">
        <w:rPr>
          <w:sz w:val="24"/>
          <w:szCs w:val="24"/>
        </w:rPr>
        <w:t xml:space="preserve"> wird hier </w:t>
      </w:r>
      <w:r>
        <w:rPr>
          <w:sz w:val="24"/>
          <w:szCs w:val="24"/>
        </w:rPr>
        <w:t>de</w:t>
      </w:r>
      <w:r w:rsidR="000F68A6">
        <w:rPr>
          <w:sz w:val="24"/>
          <w:szCs w:val="24"/>
        </w:rPr>
        <w:t>r</w:t>
      </w:r>
      <w:r>
        <w:rPr>
          <w:sz w:val="24"/>
          <w:szCs w:val="24"/>
        </w:rPr>
        <w:t xml:space="preserve"> Regress in eine vom Nationalsozi</w:t>
      </w:r>
      <w:r>
        <w:rPr>
          <w:sz w:val="24"/>
          <w:szCs w:val="24"/>
        </w:rPr>
        <w:t>a</w:t>
      </w:r>
      <w:r>
        <w:rPr>
          <w:sz w:val="24"/>
          <w:szCs w:val="24"/>
        </w:rPr>
        <w:t xml:space="preserve">lismus und seinen Folgen noch nicht berührte Vergangenheit </w:t>
      </w:r>
      <w:r w:rsidR="000F68A6">
        <w:rPr>
          <w:sz w:val="24"/>
          <w:szCs w:val="24"/>
        </w:rPr>
        <w:t>in Worte gefasst: nach außen hin freundlich, lobend, aber mit einer unverkennbaren Distanz</w:t>
      </w:r>
      <w:r>
        <w:rPr>
          <w:sz w:val="24"/>
          <w:szCs w:val="24"/>
        </w:rPr>
        <w:t xml:space="preserve">. </w:t>
      </w:r>
      <w:r w:rsidR="000F68A6">
        <w:rPr>
          <w:sz w:val="24"/>
          <w:szCs w:val="24"/>
        </w:rPr>
        <w:t>Die Teilnehmer der Reise in die Sowjetunion w</w:t>
      </w:r>
      <w:r w:rsidR="00291B33">
        <w:rPr>
          <w:sz w:val="24"/>
          <w:szCs w:val="24"/>
        </w:rPr>
        <w:t>u</w:t>
      </w:r>
      <w:r w:rsidR="000F68A6">
        <w:rPr>
          <w:sz w:val="24"/>
          <w:szCs w:val="24"/>
        </w:rPr>
        <w:t>rden manipuliert. Sie bemerk</w:t>
      </w:r>
      <w:r w:rsidR="00291B33">
        <w:rPr>
          <w:sz w:val="24"/>
          <w:szCs w:val="24"/>
        </w:rPr>
        <w:t>t</w:t>
      </w:r>
      <w:r w:rsidR="000F68A6">
        <w:rPr>
          <w:sz w:val="24"/>
          <w:szCs w:val="24"/>
        </w:rPr>
        <w:t xml:space="preserve">en die Manipulation nicht. </w:t>
      </w:r>
      <w:r w:rsidR="00981293">
        <w:rPr>
          <w:sz w:val="24"/>
          <w:szCs w:val="24"/>
        </w:rPr>
        <w:t>Utopische Hoffnu</w:t>
      </w:r>
      <w:r w:rsidR="00981293">
        <w:rPr>
          <w:sz w:val="24"/>
          <w:szCs w:val="24"/>
        </w:rPr>
        <w:t>n</w:t>
      </w:r>
      <w:r w:rsidR="00981293">
        <w:rPr>
          <w:sz w:val="24"/>
          <w:szCs w:val="24"/>
        </w:rPr>
        <w:t xml:space="preserve">gen und </w:t>
      </w:r>
      <w:r w:rsidR="00291B33">
        <w:rPr>
          <w:sz w:val="24"/>
          <w:szCs w:val="24"/>
        </w:rPr>
        <w:t xml:space="preserve">nostalgische </w:t>
      </w:r>
      <w:r>
        <w:rPr>
          <w:sz w:val="24"/>
          <w:szCs w:val="24"/>
        </w:rPr>
        <w:t>Erinnerung</w:t>
      </w:r>
      <w:r w:rsidR="00291B33">
        <w:rPr>
          <w:sz w:val="24"/>
          <w:szCs w:val="24"/>
        </w:rPr>
        <w:t>en</w:t>
      </w:r>
      <w:r>
        <w:rPr>
          <w:sz w:val="24"/>
          <w:szCs w:val="24"/>
        </w:rPr>
        <w:t xml:space="preserve"> überlager</w:t>
      </w:r>
      <w:r w:rsidR="00291B33">
        <w:rPr>
          <w:sz w:val="24"/>
          <w:szCs w:val="24"/>
        </w:rPr>
        <w:t>te</w:t>
      </w:r>
      <w:r>
        <w:rPr>
          <w:sz w:val="24"/>
          <w:szCs w:val="24"/>
        </w:rPr>
        <w:t xml:space="preserve">n sich. </w:t>
      </w:r>
      <w:r w:rsidR="00DA1D5C">
        <w:rPr>
          <w:sz w:val="24"/>
          <w:szCs w:val="24"/>
        </w:rPr>
        <w:t>Der kritische, skeptische Blick auf die Realität versagt</w:t>
      </w:r>
      <w:r w:rsidR="005B3328">
        <w:rPr>
          <w:sz w:val="24"/>
          <w:szCs w:val="24"/>
        </w:rPr>
        <w:t>e</w:t>
      </w:r>
      <w:r w:rsidR="00DA1D5C">
        <w:rPr>
          <w:sz w:val="24"/>
          <w:szCs w:val="24"/>
        </w:rPr>
        <w:t xml:space="preserve">. </w:t>
      </w:r>
      <w:r w:rsidR="008D1703">
        <w:rPr>
          <w:sz w:val="24"/>
          <w:szCs w:val="24"/>
        </w:rPr>
        <w:t>M</w:t>
      </w:r>
      <w:r>
        <w:rPr>
          <w:sz w:val="24"/>
          <w:szCs w:val="24"/>
        </w:rPr>
        <w:t>an w</w:t>
      </w:r>
      <w:r w:rsidR="005B3328">
        <w:rPr>
          <w:sz w:val="24"/>
          <w:szCs w:val="24"/>
        </w:rPr>
        <w:t>u</w:t>
      </w:r>
      <w:r>
        <w:rPr>
          <w:sz w:val="24"/>
          <w:szCs w:val="24"/>
        </w:rPr>
        <w:t>rd</w:t>
      </w:r>
      <w:r w:rsidR="005B3328">
        <w:rPr>
          <w:sz w:val="24"/>
          <w:szCs w:val="24"/>
        </w:rPr>
        <w:t>e</w:t>
      </w:r>
      <w:r>
        <w:rPr>
          <w:sz w:val="24"/>
          <w:szCs w:val="24"/>
        </w:rPr>
        <w:t xml:space="preserve"> </w:t>
      </w:r>
      <w:r w:rsidR="008D1703">
        <w:rPr>
          <w:sz w:val="24"/>
          <w:szCs w:val="24"/>
        </w:rPr>
        <w:t>mit Kaviar verwöhnt, so dass man „</w:t>
      </w:r>
      <w:proofErr w:type="spellStart"/>
      <w:r w:rsidR="008D1703">
        <w:rPr>
          <w:sz w:val="24"/>
          <w:szCs w:val="24"/>
        </w:rPr>
        <w:t>caviarübe</w:t>
      </w:r>
      <w:r w:rsidR="00DA1D5C">
        <w:rPr>
          <w:sz w:val="24"/>
          <w:szCs w:val="24"/>
        </w:rPr>
        <w:t>r</w:t>
      </w:r>
      <w:r w:rsidR="008D1703">
        <w:rPr>
          <w:sz w:val="24"/>
          <w:szCs w:val="24"/>
        </w:rPr>
        <w:t>drüssig</w:t>
      </w:r>
      <w:proofErr w:type="spellEnd"/>
      <w:r w:rsidR="008D1703">
        <w:rPr>
          <w:sz w:val="24"/>
          <w:szCs w:val="24"/>
        </w:rPr>
        <w:t>“</w:t>
      </w:r>
      <w:r w:rsidR="008D1703">
        <w:rPr>
          <w:rStyle w:val="Funotenzeichen"/>
          <w:sz w:val="24"/>
          <w:szCs w:val="24"/>
        </w:rPr>
        <w:footnoteReference w:id="36"/>
      </w:r>
      <w:r w:rsidR="008D1703">
        <w:rPr>
          <w:sz w:val="24"/>
          <w:szCs w:val="24"/>
        </w:rPr>
        <w:t xml:space="preserve"> w</w:t>
      </w:r>
      <w:r w:rsidR="005B3328">
        <w:rPr>
          <w:sz w:val="24"/>
          <w:szCs w:val="24"/>
        </w:rPr>
        <w:t>ar</w:t>
      </w:r>
      <w:r w:rsidR="00DA1D5C">
        <w:rPr>
          <w:sz w:val="24"/>
          <w:szCs w:val="24"/>
        </w:rPr>
        <w:t>, fragt</w:t>
      </w:r>
      <w:r w:rsidR="005B3328">
        <w:rPr>
          <w:sz w:val="24"/>
          <w:szCs w:val="24"/>
        </w:rPr>
        <w:t>e</w:t>
      </w:r>
      <w:r w:rsidR="00DA1D5C">
        <w:rPr>
          <w:sz w:val="24"/>
          <w:szCs w:val="24"/>
        </w:rPr>
        <w:t xml:space="preserve"> jedoch nicht, wie </w:t>
      </w:r>
      <w:r w:rsidR="00B36D95">
        <w:rPr>
          <w:sz w:val="24"/>
          <w:szCs w:val="24"/>
        </w:rPr>
        <w:t xml:space="preserve">es </w:t>
      </w:r>
      <w:r w:rsidR="00DA1D5C">
        <w:rPr>
          <w:sz w:val="24"/>
          <w:szCs w:val="24"/>
        </w:rPr>
        <w:t>um den Lebensstandard des normalen Sowjetbürgers bestellt war</w:t>
      </w:r>
      <w:r w:rsidR="008D1703">
        <w:rPr>
          <w:sz w:val="24"/>
          <w:szCs w:val="24"/>
        </w:rPr>
        <w:t>.</w:t>
      </w:r>
    </w:p>
    <w:p w:rsidR="007C1DD3" w:rsidRDefault="007C1DD3" w:rsidP="001D2105">
      <w:pPr>
        <w:spacing w:after="0"/>
        <w:jc w:val="both"/>
        <w:rPr>
          <w:sz w:val="24"/>
          <w:szCs w:val="24"/>
        </w:rPr>
      </w:pPr>
      <w:r>
        <w:rPr>
          <w:sz w:val="24"/>
          <w:szCs w:val="24"/>
        </w:rPr>
        <w:tab/>
      </w:r>
      <w:r w:rsidR="00591429">
        <w:rPr>
          <w:sz w:val="24"/>
          <w:szCs w:val="24"/>
        </w:rPr>
        <w:t xml:space="preserve">Klaus Mann formuliert in seinem Tagebuch </w:t>
      </w:r>
      <w:r w:rsidR="000F68A6">
        <w:rPr>
          <w:sz w:val="24"/>
          <w:szCs w:val="24"/>
        </w:rPr>
        <w:t>dieselb</w:t>
      </w:r>
      <w:r w:rsidR="00591429">
        <w:rPr>
          <w:sz w:val="24"/>
          <w:szCs w:val="24"/>
        </w:rPr>
        <w:t>e Distanz</w:t>
      </w:r>
      <w:r w:rsidR="00981293">
        <w:rPr>
          <w:sz w:val="24"/>
          <w:szCs w:val="24"/>
        </w:rPr>
        <w:t xml:space="preserve">. </w:t>
      </w:r>
      <w:r w:rsidR="005B3328">
        <w:rPr>
          <w:sz w:val="24"/>
          <w:szCs w:val="24"/>
        </w:rPr>
        <w:t xml:space="preserve">Sein Blick auf das </w:t>
      </w:r>
      <w:r w:rsidR="00F713B4">
        <w:rPr>
          <w:sz w:val="24"/>
          <w:szCs w:val="24"/>
        </w:rPr>
        <w:t>so</w:t>
      </w:r>
      <w:r w:rsidR="00F713B4">
        <w:rPr>
          <w:sz w:val="24"/>
          <w:szCs w:val="24"/>
        </w:rPr>
        <w:t>w</w:t>
      </w:r>
      <w:r w:rsidR="00F713B4">
        <w:rPr>
          <w:sz w:val="24"/>
          <w:szCs w:val="24"/>
        </w:rPr>
        <w:t xml:space="preserve">jetischen Alltagslebens </w:t>
      </w:r>
      <w:r w:rsidR="005B3328">
        <w:rPr>
          <w:sz w:val="24"/>
          <w:szCs w:val="24"/>
        </w:rPr>
        <w:t>evoziert bei ihm sogar Gedanken an entsprechende Phänomene</w:t>
      </w:r>
      <w:r w:rsidR="000F68A6">
        <w:rPr>
          <w:sz w:val="24"/>
          <w:szCs w:val="24"/>
        </w:rPr>
        <w:t xml:space="preserve"> </w:t>
      </w:r>
      <w:r w:rsidR="005B3328">
        <w:rPr>
          <w:sz w:val="24"/>
          <w:szCs w:val="24"/>
        </w:rPr>
        <w:t xml:space="preserve">des </w:t>
      </w:r>
      <w:r w:rsidR="00C10541">
        <w:rPr>
          <w:sz w:val="24"/>
          <w:szCs w:val="24"/>
        </w:rPr>
        <w:t>deutschen</w:t>
      </w:r>
      <w:r w:rsidR="00981293">
        <w:rPr>
          <w:sz w:val="24"/>
          <w:szCs w:val="24"/>
        </w:rPr>
        <w:t xml:space="preserve"> Faschismus</w:t>
      </w:r>
      <w:r w:rsidR="00591429">
        <w:rPr>
          <w:sz w:val="24"/>
          <w:szCs w:val="24"/>
        </w:rPr>
        <w:t>:</w:t>
      </w:r>
    </w:p>
    <w:p w:rsidR="00591429" w:rsidRDefault="00591429" w:rsidP="001D2105">
      <w:pPr>
        <w:spacing w:after="0"/>
        <w:ind w:left="1134"/>
        <w:jc w:val="both"/>
        <w:rPr>
          <w:sz w:val="24"/>
          <w:szCs w:val="24"/>
        </w:rPr>
      </w:pPr>
      <w:r>
        <w:rPr>
          <w:sz w:val="24"/>
          <w:szCs w:val="24"/>
        </w:rPr>
        <w:t>„Die störenden Züge: der Militarismus; die betonte Unterordnung ([„]</w:t>
      </w:r>
      <w:r w:rsidR="002F7638">
        <w:rPr>
          <w:sz w:val="24"/>
          <w:szCs w:val="24"/>
        </w:rPr>
        <w:t xml:space="preserve"> </w:t>
      </w:r>
      <w:r>
        <w:rPr>
          <w:sz w:val="24"/>
          <w:szCs w:val="24"/>
        </w:rPr>
        <w:t xml:space="preserve">ich gehe, wohin die Partei mich schickt“) – eben jene Züge, die an den </w:t>
      </w:r>
      <w:proofErr w:type="spellStart"/>
      <w:r>
        <w:rPr>
          <w:sz w:val="24"/>
          <w:szCs w:val="24"/>
        </w:rPr>
        <w:t>Fascismus</w:t>
      </w:r>
      <w:proofErr w:type="spellEnd"/>
      <w:r>
        <w:rPr>
          <w:sz w:val="24"/>
          <w:szCs w:val="24"/>
        </w:rPr>
        <w:t xml:space="preserve"> eri</w:t>
      </w:r>
      <w:r>
        <w:rPr>
          <w:sz w:val="24"/>
          <w:szCs w:val="24"/>
        </w:rPr>
        <w:t>n</w:t>
      </w:r>
      <w:r>
        <w:rPr>
          <w:sz w:val="24"/>
          <w:szCs w:val="24"/>
        </w:rPr>
        <w:t>nern.“</w:t>
      </w:r>
      <w:r>
        <w:rPr>
          <w:rStyle w:val="Funotenzeichen"/>
          <w:sz w:val="24"/>
          <w:szCs w:val="24"/>
        </w:rPr>
        <w:footnoteReference w:id="37"/>
      </w:r>
    </w:p>
    <w:p w:rsidR="003F1643" w:rsidRDefault="00425F88" w:rsidP="001D2105">
      <w:pPr>
        <w:spacing w:after="0"/>
        <w:jc w:val="both"/>
        <w:rPr>
          <w:sz w:val="24"/>
          <w:szCs w:val="24"/>
        </w:rPr>
      </w:pPr>
      <w:r>
        <w:rPr>
          <w:sz w:val="24"/>
          <w:szCs w:val="24"/>
        </w:rPr>
        <w:t>Ih</w:t>
      </w:r>
      <w:r w:rsidR="005B3328">
        <w:rPr>
          <w:sz w:val="24"/>
          <w:szCs w:val="24"/>
        </w:rPr>
        <w:t xml:space="preserve">n stört die Begeisterung, </w:t>
      </w:r>
      <w:r w:rsidR="00981293">
        <w:rPr>
          <w:sz w:val="24"/>
          <w:szCs w:val="24"/>
        </w:rPr>
        <w:t xml:space="preserve">die </w:t>
      </w:r>
      <w:r w:rsidR="005B3328">
        <w:rPr>
          <w:sz w:val="24"/>
          <w:szCs w:val="24"/>
        </w:rPr>
        <w:t xml:space="preserve">zumal bei den „Deutschen“ </w:t>
      </w:r>
      <w:r w:rsidR="00981293">
        <w:rPr>
          <w:sz w:val="24"/>
          <w:szCs w:val="24"/>
        </w:rPr>
        <w:t>der Anblick des Militärs auslöst</w:t>
      </w:r>
      <w:r w:rsidR="005B3328">
        <w:rPr>
          <w:sz w:val="24"/>
          <w:szCs w:val="24"/>
        </w:rPr>
        <w:t>. Er vermag sich „Militär“</w:t>
      </w:r>
      <w:r w:rsidR="00C10541">
        <w:rPr>
          <w:sz w:val="24"/>
          <w:szCs w:val="24"/>
        </w:rPr>
        <w:t xml:space="preserve"> </w:t>
      </w:r>
      <w:r w:rsidR="005B3328">
        <w:rPr>
          <w:sz w:val="24"/>
          <w:szCs w:val="24"/>
        </w:rPr>
        <w:t>nicht ohne Verbindung mit „Aggression“ vorzustellen:</w:t>
      </w:r>
    </w:p>
    <w:p w:rsidR="00BF517E" w:rsidRDefault="00BF517E" w:rsidP="001D2105">
      <w:pPr>
        <w:spacing w:after="0"/>
        <w:ind w:left="1134"/>
        <w:jc w:val="both"/>
        <w:rPr>
          <w:sz w:val="24"/>
          <w:szCs w:val="24"/>
        </w:rPr>
      </w:pPr>
      <w:r>
        <w:rPr>
          <w:sz w:val="24"/>
          <w:szCs w:val="24"/>
        </w:rPr>
        <w:t xml:space="preserve">„Deputation der Roten Armee, Trupp Soldaten, gefährlich marschierend; einige in Leder gehüllt, mit Brillen (Auto oder Tank.) Begeisterung des Publikums; die </w:t>
      </w:r>
      <w:r>
        <w:rPr>
          <w:sz w:val="24"/>
          <w:szCs w:val="24"/>
        </w:rPr>
        <w:lastRenderedPageBreak/>
        <w:t>Deutschen in Verzückung. Davon bitter berührt – trotz allen Argumenten (Schutz des Sozialismus usw.) Ganze Problematik dieses Defensiv-Militarismus, der zu begeistert ist, um nicht aggressiv zu werden.“</w:t>
      </w:r>
      <w:r w:rsidR="00A16104">
        <w:rPr>
          <w:rStyle w:val="Funotenzeichen"/>
          <w:sz w:val="24"/>
          <w:szCs w:val="24"/>
        </w:rPr>
        <w:footnoteReference w:id="38"/>
      </w:r>
    </w:p>
    <w:p w:rsidR="00A16104" w:rsidRDefault="00981293" w:rsidP="001D2105">
      <w:pPr>
        <w:spacing w:after="0"/>
        <w:jc w:val="both"/>
        <w:rPr>
          <w:sz w:val="24"/>
          <w:szCs w:val="24"/>
        </w:rPr>
      </w:pPr>
      <w:r>
        <w:rPr>
          <w:sz w:val="24"/>
          <w:szCs w:val="24"/>
        </w:rPr>
        <w:t xml:space="preserve">Nicht weniger distanziert formuliert </w:t>
      </w:r>
      <w:r w:rsidR="00A16104">
        <w:rPr>
          <w:sz w:val="24"/>
          <w:szCs w:val="24"/>
        </w:rPr>
        <w:t xml:space="preserve">Klaus Manns </w:t>
      </w:r>
      <w:r>
        <w:rPr>
          <w:sz w:val="24"/>
          <w:szCs w:val="24"/>
        </w:rPr>
        <w:t xml:space="preserve">sein </w:t>
      </w:r>
      <w:r w:rsidR="00A16104">
        <w:rPr>
          <w:sz w:val="24"/>
          <w:szCs w:val="24"/>
        </w:rPr>
        <w:t xml:space="preserve">Urteil über </w:t>
      </w:r>
      <w:r>
        <w:rPr>
          <w:sz w:val="24"/>
          <w:szCs w:val="24"/>
        </w:rPr>
        <w:t>di</w:t>
      </w:r>
      <w:r w:rsidR="00A16104">
        <w:rPr>
          <w:sz w:val="24"/>
          <w:szCs w:val="24"/>
        </w:rPr>
        <w:t xml:space="preserve">e </w:t>
      </w:r>
      <w:r w:rsidR="005B3328">
        <w:rPr>
          <w:sz w:val="24"/>
          <w:szCs w:val="24"/>
        </w:rPr>
        <w:t>R</w:t>
      </w:r>
      <w:r w:rsidR="00A16104">
        <w:rPr>
          <w:sz w:val="24"/>
          <w:szCs w:val="24"/>
        </w:rPr>
        <w:t>eden</w:t>
      </w:r>
      <w:r w:rsidR="005B3328">
        <w:rPr>
          <w:sz w:val="24"/>
          <w:szCs w:val="24"/>
        </w:rPr>
        <w:t>, die auf dem Kongress gehalten werden</w:t>
      </w:r>
      <w:r w:rsidR="000F68A6">
        <w:rPr>
          <w:sz w:val="24"/>
          <w:szCs w:val="24"/>
        </w:rPr>
        <w:t xml:space="preserve">. Was hier </w:t>
      </w:r>
      <w:r w:rsidR="005B3328">
        <w:rPr>
          <w:sz w:val="24"/>
          <w:szCs w:val="24"/>
        </w:rPr>
        <w:t xml:space="preserve">insbesondere über Proust und Joyce </w:t>
      </w:r>
      <w:r w:rsidR="000F68A6">
        <w:rPr>
          <w:sz w:val="24"/>
          <w:szCs w:val="24"/>
        </w:rPr>
        <w:t xml:space="preserve">gesagt wird, </w:t>
      </w:r>
      <w:r w:rsidR="005B3328">
        <w:rPr>
          <w:sz w:val="24"/>
          <w:szCs w:val="24"/>
        </w:rPr>
        <w:t>em</w:t>
      </w:r>
      <w:r w:rsidR="005B3328">
        <w:rPr>
          <w:sz w:val="24"/>
          <w:szCs w:val="24"/>
        </w:rPr>
        <w:t>p</w:t>
      </w:r>
      <w:r w:rsidR="005B3328">
        <w:rPr>
          <w:sz w:val="24"/>
          <w:szCs w:val="24"/>
        </w:rPr>
        <w:t>findet er als</w:t>
      </w:r>
      <w:r w:rsidR="000F68A6">
        <w:rPr>
          <w:sz w:val="24"/>
          <w:szCs w:val="24"/>
        </w:rPr>
        <w:t xml:space="preserve"> Zumutung</w:t>
      </w:r>
      <w:r w:rsidR="00A16104">
        <w:rPr>
          <w:sz w:val="24"/>
          <w:szCs w:val="24"/>
        </w:rPr>
        <w:t>:</w:t>
      </w:r>
    </w:p>
    <w:p w:rsidR="00A16104" w:rsidRDefault="00A16104" w:rsidP="001D2105">
      <w:pPr>
        <w:spacing w:after="0"/>
        <w:ind w:left="1134"/>
        <w:jc w:val="both"/>
        <w:rPr>
          <w:sz w:val="24"/>
          <w:szCs w:val="24"/>
        </w:rPr>
      </w:pPr>
      <w:r>
        <w:rPr>
          <w:sz w:val="24"/>
          <w:szCs w:val="24"/>
        </w:rPr>
        <w:t>„Dummheiten gegen Joyce und Proust (Joyce, der ‚den Misthaufen mit dem Mi</w:t>
      </w:r>
      <w:r>
        <w:rPr>
          <w:sz w:val="24"/>
          <w:szCs w:val="24"/>
        </w:rPr>
        <w:t>k</w:t>
      </w:r>
      <w:r>
        <w:rPr>
          <w:sz w:val="24"/>
          <w:szCs w:val="24"/>
        </w:rPr>
        <w:t xml:space="preserve">roskop untersucht‘ – Vorwürfe, wie gegen den jungen Naturalismus –; Proust, der 7 Gerüche gleichzeitig unterscheiden konnte –: ‚er hätte das Fenster aufmachen sollen‘, helle Arbeiterhäuser bauen.) – Ungenügend über die Kriegsliteratur (nur Remarque.) Gar nichts über die </w:t>
      </w:r>
      <w:proofErr w:type="spellStart"/>
      <w:r>
        <w:rPr>
          <w:sz w:val="24"/>
          <w:szCs w:val="24"/>
        </w:rPr>
        <w:t>grosse</w:t>
      </w:r>
      <w:proofErr w:type="spellEnd"/>
      <w:r>
        <w:rPr>
          <w:sz w:val="24"/>
          <w:szCs w:val="24"/>
        </w:rPr>
        <w:t xml:space="preserve"> links-bürgerliche – Gide und Rolland als ‚Sympathisierende‘ gewertet (Dreiser ebenso herzlich.) – Furchtbare Vereinf</w:t>
      </w:r>
      <w:r>
        <w:rPr>
          <w:sz w:val="24"/>
          <w:szCs w:val="24"/>
        </w:rPr>
        <w:t>a</w:t>
      </w:r>
      <w:r>
        <w:rPr>
          <w:sz w:val="24"/>
          <w:szCs w:val="24"/>
        </w:rPr>
        <w:t xml:space="preserve">chung des ganzen Phänomens Kunst. Die </w:t>
      </w:r>
      <w:proofErr w:type="spellStart"/>
      <w:r>
        <w:rPr>
          <w:sz w:val="24"/>
          <w:szCs w:val="24"/>
        </w:rPr>
        <w:t>Lit</w:t>
      </w:r>
      <w:proofErr w:type="spellEnd"/>
      <w:r>
        <w:rPr>
          <w:sz w:val="24"/>
          <w:szCs w:val="24"/>
        </w:rPr>
        <w:t>. als Armee. - - -“</w:t>
      </w:r>
      <w:r>
        <w:rPr>
          <w:rStyle w:val="Funotenzeichen"/>
          <w:sz w:val="24"/>
          <w:szCs w:val="24"/>
        </w:rPr>
        <w:footnoteReference w:id="39"/>
      </w:r>
    </w:p>
    <w:p w:rsidR="002F7638" w:rsidRDefault="002F7638" w:rsidP="001D2105">
      <w:pPr>
        <w:spacing w:after="0"/>
        <w:jc w:val="both"/>
        <w:rPr>
          <w:sz w:val="24"/>
          <w:szCs w:val="24"/>
        </w:rPr>
      </w:pPr>
      <w:r>
        <w:rPr>
          <w:sz w:val="24"/>
          <w:szCs w:val="24"/>
        </w:rPr>
        <w:t xml:space="preserve">Michael Rohrwasser resümiert sarkastisch die Wirkung, die die Veranstaltung </w:t>
      </w:r>
      <w:r w:rsidR="00981293">
        <w:rPr>
          <w:sz w:val="24"/>
          <w:szCs w:val="24"/>
        </w:rPr>
        <w:t>auf die deu</w:t>
      </w:r>
      <w:r w:rsidR="00981293">
        <w:rPr>
          <w:sz w:val="24"/>
          <w:szCs w:val="24"/>
        </w:rPr>
        <w:t>t</w:t>
      </w:r>
      <w:r w:rsidR="00981293">
        <w:rPr>
          <w:sz w:val="24"/>
          <w:szCs w:val="24"/>
        </w:rPr>
        <w:t xml:space="preserve">schen Gäste </w:t>
      </w:r>
      <w:r>
        <w:rPr>
          <w:sz w:val="24"/>
          <w:szCs w:val="24"/>
        </w:rPr>
        <w:t xml:space="preserve">ausübte: „In der Heimat vertrieben, zur Bedeutungslosigkeit verurteilt, konnte man hier Militärparaden von der Bühne aus erleben – die Rote Armee marschierte auf für den </w:t>
      </w:r>
      <w:proofErr w:type="spellStart"/>
      <w:r>
        <w:rPr>
          <w:sz w:val="24"/>
          <w:szCs w:val="24"/>
        </w:rPr>
        <w:t>Schriftstellerkongreß</w:t>
      </w:r>
      <w:proofErr w:type="spellEnd"/>
      <w:r>
        <w:rPr>
          <w:sz w:val="24"/>
          <w:szCs w:val="24"/>
        </w:rPr>
        <w:t xml:space="preserve"> –, erfuhr man die eminente Bedeutung, die Schriftstellern im </w:t>
      </w:r>
      <w:proofErr w:type="spellStart"/>
      <w:r>
        <w:rPr>
          <w:sz w:val="24"/>
          <w:szCs w:val="24"/>
        </w:rPr>
        <w:t>siegesb</w:t>
      </w:r>
      <w:r>
        <w:rPr>
          <w:sz w:val="24"/>
          <w:szCs w:val="24"/>
        </w:rPr>
        <w:t>e</w:t>
      </w:r>
      <w:r>
        <w:rPr>
          <w:sz w:val="24"/>
          <w:szCs w:val="24"/>
        </w:rPr>
        <w:t>wußten</w:t>
      </w:r>
      <w:proofErr w:type="spellEnd"/>
      <w:r>
        <w:rPr>
          <w:sz w:val="24"/>
          <w:szCs w:val="24"/>
        </w:rPr>
        <w:t xml:space="preserve"> Fortschreiten der Geschichte zugeschrieben wurde, und war bereit, auf die Verhe</w:t>
      </w:r>
      <w:r>
        <w:rPr>
          <w:sz w:val="24"/>
          <w:szCs w:val="24"/>
        </w:rPr>
        <w:t>i</w:t>
      </w:r>
      <w:r>
        <w:rPr>
          <w:sz w:val="24"/>
          <w:szCs w:val="24"/>
        </w:rPr>
        <w:t>ßung einer diktatorischen Durchsetzung der Vernunft zu setzten.“</w:t>
      </w:r>
      <w:r>
        <w:rPr>
          <w:rStyle w:val="Funotenzeichen"/>
          <w:sz w:val="24"/>
          <w:szCs w:val="24"/>
        </w:rPr>
        <w:footnoteReference w:id="40"/>
      </w:r>
      <w:r w:rsidR="005B3328">
        <w:rPr>
          <w:sz w:val="24"/>
          <w:szCs w:val="24"/>
        </w:rPr>
        <w:t xml:space="preserve"> – Genau das meint Roth, wenn er von der „edlen Blindheit“ der Exilschriftsteller spricht.</w:t>
      </w:r>
    </w:p>
    <w:p w:rsidR="005E05EB" w:rsidRDefault="005E05EB" w:rsidP="001D2105">
      <w:pPr>
        <w:spacing w:after="0"/>
        <w:jc w:val="both"/>
        <w:rPr>
          <w:sz w:val="24"/>
          <w:szCs w:val="24"/>
        </w:rPr>
      </w:pPr>
    </w:p>
    <w:p w:rsidR="001457E9" w:rsidRDefault="001457E9" w:rsidP="001D2105">
      <w:pPr>
        <w:spacing w:after="0"/>
        <w:jc w:val="both"/>
        <w:rPr>
          <w:sz w:val="24"/>
          <w:szCs w:val="24"/>
        </w:rPr>
      </w:pPr>
      <w:r>
        <w:rPr>
          <w:sz w:val="24"/>
          <w:szCs w:val="24"/>
        </w:rPr>
        <w:tab/>
      </w:r>
      <w:r w:rsidR="00981293">
        <w:rPr>
          <w:sz w:val="24"/>
          <w:szCs w:val="24"/>
        </w:rPr>
        <w:t>E</w:t>
      </w:r>
      <w:r>
        <w:rPr>
          <w:sz w:val="24"/>
          <w:szCs w:val="24"/>
        </w:rPr>
        <w:t xml:space="preserve">in knappes Jahr später </w:t>
      </w:r>
      <w:r w:rsidR="0062316A">
        <w:rPr>
          <w:sz w:val="24"/>
          <w:szCs w:val="24"/>
        </w:rPr>
        <w:t xml:space="preserve">folgte </w:t>
      </w:r>
      <w:r>
        <w:rPr>
          <w:sz w:val="24"/>
          <w:szCs w:val="24"/>
        </w:rPr>
        <w:t>der Erste Internationale Schriftstellerkongress zur Ve</w:t>
      </w:r>
      <w:r>
        <w:rPr>
          <w:sz w:val="24"/>
          <w:szCs w:val="24"/>
        </w:rPr>
        <w:t>r</w:t>
      </w:r>
      <w:r>
        <w:rPr>
          <w:sz w:val="24"/>
          <w:szCs w:val="24"/>
        </w:rPr>
        <w:t>teidigung der Kultur</w:t>
      </w:r>
      <w:r w:rsidR="0062316A">
        <w:rPr>
          <w:sz w:val="24"/>
          <w:szCs w:val="24"/>
        </w:rPr>
        <w:t xml:space="preserve"> in Paris</w:t>
      </w:r>
      <w:r>
        <w:rPr>
          <w:sz w:val="24"/>
          <w:szCs w:val="24"/>
        </w:rPr>
        <w:t>.</w:t>
      </w:r>
      <w:r>
        <w:rPr>
          <w:rStyle w:val="Funotenzeichen"/>
          <w:sz w:val="24"/>
          <w:szCs w:val="24"/>
        </w:rPr>
        <w:footnoteReference w:id="41"/>
      </w:r>
      <w:r w:rsidR="004744B1">
        <w:rPr>
          <w:sz w:val="24"/>
          <w:szCs w:val="24"/>
        </w:rPr>
        <w:t xml:space="preserve"> Dem Kongress war auf Seiten der KPD entscheidende polit</w:t>
      </w:r>
      <w:r w:rsidR="004744B1">
        <w:rPr>
          <w:sz w:val="24"/>
          <w:szCs w:val="24"/>
        </w:rPr>
        <w:t>i</w:t>
      </w:r>
      <w:r w:rsidR="004744B1">
        <w:rPr>
          <w:sz w:val="24"/>
          <w:szCs w:val="24"/>
        </w:rPr>
        <w:t xml:space="preserve">sche Veränderungen vorangegangen. </w:t>
      </w:r>
      <w:r w:rsidR="0062316A">
        <w:rPr>
          <w:sz w:val="24"/>
          <w:szCs w:val="24"/>
        </w:rPr>
        <w:t xml:space="preserve">Den Anstoß für diese politische Neuorientierung hatte nicht zuletzt die Niederlage bei der Saar-Abstimmung geliefert. Um </w:t>
      </w:r>
      <w:r w:rsidR="00AC07BE">
        <w:rPr>
          <w:sz w:val="24"/>
          <w:szCs w:val="24"/>
        </w:rPr>
        <w:t>die Wiederholung eines</w:t>
      </w:r>
      <w:r w:rsidR="0062316A">
        <w:rPr>
          <w:sz w:val="24"/>
          <w:szCs w:val="24"/>
        </w:rPr>
        <w:t xml:space="preserve"> solche</w:t>
      </w:r>
      <w:r w:rsidR="00AC07BE">
        <w:rPr>
          <w:sz w:val="24"/>
          <w:szCs w:val="24"/>
        </w:rPr>
        <w:t>n</w:t>
      </w:r>
      <w:r w:rsidR="0062316A">
        <w:rPr>
          <w:sz w:val="24"/>
          <w:szCs w:val="24"/>
        </w:rPr>
        <w:t xml:space="preserve"> Desaster</w:t>
      </w:r>
      <w:r w:rsidR="00AC07BE">
        <w:rPr>
          <w:sz w:val="24"/>
          <w:szCs w:val="24"/>
        </w:rPr>
        <w:t>s</w:t>
      </w:r>
      <w:r w:rsidR="0062316A">
        <w:rPr>
          <w:sz w:val="24"/>
          <w:szCs w:val="24"/>
        </w:rPr>
        <w:t xml:space="preserve"> zu vermeiden, </w:t>
      </w:r>
      <w:r w:rsidR="004744B1">
        <w:rPr>
          <w:sz w:val="24"/>
          <w:szCs w:val="24"/>
        </w:rPr>
        <w:t xml:space="preserve">sollte </w:t>
      </w:r>
      <w:r w:rsidR="0062316A">
        <w:rPr>
          <w:sz w:val="24"/>
          <w:szCs w:val="24"/>
        </w:rPr>
        <w:t xml:space="preserve">nunmehr </w:t>
      </w:r>
      <w:r w:rsidR="004744B1">
        <w:rPr>
          <w:sz w:val="24"/>
          <w:szCs w:val="24"/>
        </w:rPr>
        <w:t xml:space="preserve">in „breitem Maßstab“ die Taktik der </w:t>
      </w:r>
      <w:r w:rsidR="00AC07BE">
        <w:rPr>
          <w:sz w:val="24"/>
          <w:szCs w:val="24"/>
        </w:rPr>
        <w:t>„</w:t>
      </w:r>
      <w:r w:rsidR="004744B1">
        <w:rPr>
          <w:sz w:val="24"/>
          <w:szCs w:val="24"/>
        </w:rPr>
        <w:t>Ei</w:t>
      </w:r>
      <w:r w:rsidR="004744B1">
        <w:rPr>
          <w:sz w:val="24"/>
          <w:szCs w:val="24"/>
        </w:rPr>
        <w:t>n</w:t>
      </w:r>
      <w:r w:rsidR="004744B1">
        <w:rPr>
          <w:sz w:val="24"/>
          <w:szCs w:val="24"/>
        </w:rPr>
        <w:t>heitsfront</w:t>
      </w:r>
      <w:r w:rsidR="00AC07BE">
        <w:rPr>
          <w:sz w:val="24"/>
          <w:szCs w:val="24"/>
        </w:rPr>
        <w:t>“</w:t>
      </w:r>
      <w:r w:rsidR="004744B1">
        <w:rPr>
          <w:sz w:val="24"/>
          <w:szCs w:val="24"/>
        </w:rPr>
        <w:t xml:space="preserve"> mit allen sozialdemokratischen Gruppen entfaltet werden.</w:t>
      </w:r>
      <w:r w:rsidR="004744B1">
        <w:rPr>
          <w:rStyle w:val="Funotenzeichen"/>
          <w:sz w:val="24"/>
          <w:szCs w:val="24"/>
        </w:rPr>
        <w:footnoteReference w:id="42"/>
      </w:r>
      <w:r w:rsidR="00860E46">
        <w:rPr>
          <w:sz w:val="24"/>
          <w:szCs w:val="24"/>
        </w:rPr>
        <w:t xml:space="preserve"> Auf außenpolitischem Gebiet </w:t>
      </w:r>
      <w:r w:rsidR="00AC07BE">
        <w:rPr>
          <w:sz w:val="24"/>
          <w:szCs w:val="24"/>
        </w:rPr>
        <w:t>wurde</w:t>
      </w:r>
      <w:r w:rsidR="00860E46">
        <w:rPr>
          <w:sz w:val="24"/>
          <w:szCs w:val="24"/>
        </w:rPr>
        <w:t xml:space="preserve"> </w:t>
      </w:r>
      <w:r w:rsidR="00AC07BE">
        <w:rPr>
          <w:sz w:val="24"/>
          <w:szCs w:val="24"/>
        </w:rPr>
        <w:t xml:space="preserve">die Kursänderung von </w:t>
      </w:r>
      <w:r w:rsidR="00860E46">
        <w:rPr>
          <w:sz w:val="24"/>
          <w:szCs w:val="24"/>
        </w:rPr>
        <w:t>Beistandspakte</w:t>
      </w:r>
      <w:r w:rsidR="00AC07BE">
        <w:rPr>
          <w:sz w:val="24"/>
          <w:szCs w:val="24"/>
        </w:rPr>
        <w:t>n</w:t>
      </w:r>
      <w:r w:rsidR="00860E46">
        <w:rPr>
          <w:sz w:val="24"/>
          <w:szCs w:val="24"/>
        </w:rPr>
        <w:t xml:space="preserve"> der Sowjetunion mit Frankreich und </w:t>
      </w:r>
      <w:r w:rsidR="0062316A">
        <w:rPr>
          <w:sz w:val="24"/>
          <w:szCs w:val="24"/>
        </w:rPr>
        <w:t xml:space="preserve">mit </w:t>
      </w:r>
      <w:r w:rsidR="00860E46">
        <w:rPr>
          <w:sz w:val="24"/>
          <w:szCs w:val="24"/>
        </w:rPr>
        <w:t>der Tschechoslowakei</w:t>
      </w:r>
      <w:r w:rsidR="00AC07BE">
        <w:rPr>
          <w:sz w:val="24"/>
          <w:szCs w:val="24"/>
        </w:rPr>
        <w:t xml:space="preserve"> begleitet.</w:t>
      </w:r>
      <w:r w:rsidR="00860E46">
        <w:rPr>
          <w:sz w:val="24"/>
          <w:szCs w:val="24"/>
        </w:rPr>
        <w:t xml:space="preserve"> In Frankreich war bereits im Juli 1934 ein Einheitsfronta</w:t>
      </w:r>
      <w:r w:rsidR="00860E46">
        <w:rPr>
          <w:sz w:val="24"/>
          <w:szCs w:val="24"/>
        </w:rPr>
        <w:t>b</w:t>
      </w:r>
      <w:r w:rsidR="00860E46">
        <w:rPr>
          <w:sz w:val="24"/>
          <w:szCs w:val="24"/>
        </w:rPr>
        <w:t>kommen zwischen FKP und SFIO abgeschlossen worde</w:t>
      </w:r>
      <w:r w:rsidR="00C070F0">
        <w:rPr>
          <w:sz w:val="24"/>
          <w:szCs w:val="24"/>
        </w:rPr>
        <w:t>n</w:t>
      </w:r>
      <w:r w:rsidR="0062316A">
        <w:rPr>
          <w:sz w:val="24"/>
          <w:szCs w:val="24"/>
        </w:rPr>
        <w:t>. Es hatte</w:t>
      </w:r>
      <w:r w:rsidR="002A3311">
        <w:rPr>
          <w:sz w:val="24"/>
          <w:szCs w:val="24"/>
        </w:rPr>
        <w:t xml:space="preserve"> zu Erfolgen der KPF in den Gemeindewahlen vom Mai 1935 geführt</w:t>
      </w:r>
      <w:r w:rsidR="0062316A">
        <w:rPr>
          <w:sz w:val="24"/>
          <w:szCs w:val="24"/>
        </w:rPr>
        <w:t>.</w:t>
      </w:r>
      <w:r w:rsidR="002A3311">
        <w:rPr>
          <w:rStyle w:val="Funotenzeichen"/>
          <w:sz w:val="24"/>
          <w:szCs w:val="24"/>
        </w:rPr>
        <w:footnoteReference w:id="43"/>
      </w:r>
      <w:r w:rsidR="002A3311">
        <w:rPr>
          <w:sz w:val="24"/>
          <w:szCs w:val="24"/>
        </w:rPr>
        <w:t xml:space="preserve"> </w:t>
      </w:r>
      <w:r w:rsidR="0062316A">
        <w:rPr>
          <w:sz w:val="24"/>
          <w:szCs w:val="24"/>
        </w:rPr>
        <w:t xml:space="preserve">Diesen ersten, </w:t>
      </w:r>
      <w:r w:rsidR="00AC07BE">
        <w:rPr>
          <w:sz w:val="24"/>
          <w:szCs w:val="24"/>
        </w:rPr>
        <w:t xml:space="preserve">noch </w:t>
      </w:r>
      <w:r w:rsidR="0062316A">
        <w:rPr>
          <w:sz w:val="24"/>
          <w:szCs w:val="24"/>
        </w:rPr>
        <w:t>vorsichtigen Kursänd</w:t>
      </w:r>
      <w:r w:rsidR="0062316A">
        <w:rPr>
          <w:sz w:val="24"/>
          <w:szCs w:val="24"/>
        </w:rPr>
        <w:t>e</w:t>
      </w:r>
      <w:r w:rsidR="0062316A">
        <w:rPr>
          <w:sz w:val="24"/>
          <w:szCs w:val="24"/>
        </w:rPr>
        <w:t>rungen</w:t>
      </w:r>
      <w:r w:rsidR="002A3311">
        <w:rPr>
          <w:sz w:val="24"/>
          <w:szCs w:val="24"/>
        </w:rPr>
        <w:t xml:space="preserve"> folgte der VII. </w:t>
      </w:r>
      <w:proofErr w:type="spellStart"/>
      <w:r w:rsidR="002A3311">
        <w:rPr>
          <w:sz w:val="24"/>
          <w:szCs w:val="24"/>
        </w:rPr>
        <w:t>Kominternkongress</w:t>
      </w:r>
      <w:proofErr w:type="spellEnd"/>
      <w:r w:rsidR="0062316A">
        <w:rPr>
          <w:sz w:val="24"/>
          <w:szCs w:val="24"/>
        </w:rPr>
        <w:t>.</w:t>
      </w:r>
      <w:r w:rsidR="002A3311">
        <w:rPr>
          <w:sz w:val="24"/>
          <w:szCs w:val="24"/>
        </w:rPr>
        <w:t xml:space="preserve"> </w:t>
      </w:r>
      <w:r w:rsidR="00AC07BE">
        <w:rPr>
          <w:sz w:val="24"/>
          <w:szCs w:val="24"/>
        </w:rPr>
        <w:t>Durch ihn wurde</w:t>
      </w:r>
      <w:r w:rsidR="0062316A">
        <w:rPr>
          <w:sz w:val="24"/>
          <w:szCs w:val="24"/>
        </w:rPr>
        <w:t xml:space="preserve"> </w:t>
      </w:r>
      <w:r w:rsidR="002A3311">
        <w:rPr>
          <w:sz w:val="24"/>
          <w:szCs w:val="24"/>
        </w:rPr>
        <w:t xml:space="preserve">die neue politische Linie </w:t>
      </w:r>
      <w:r w:rsidR="005B3328">
        <w:rPr>
          <w:sz w:val="24"/>
          <w:szCs w:val="24"/>
        </w:rPr>
        <w:t xml:space="preserve">mit entsprechenden Beschlüssen </w:t>
      </w:r>
      <w:r w:rsidR="002A3311">
        <w:rPr>
          <w:sz w:val="24"/>
          <w:szCs w:val="24"/>
        </w:rPr>
        <w:t>ab</w:t>
      </w:r>
      <w:r w:rsidR="00AC07BE">
        <w:rPr>
          <w:sz w:val="24"/>
          <w:szCs w:val="24"/>
        </w:rPr>
        <w:t>gesichert</w:t>
      </w:r>
      <w:r w:rsidR="002A3311">
        <w:rPr>
          <w:sz w:val="24"/>
          <w:szCs w:val="24"/>
        </w:rPr>
        <w:t>.</w:t>
      </w:r>
      <w:r w:rsidR="002A3311">
        <w:rPr>
          <w:rStyle w:val="Funotenzeichen"/>
          <w:sz w:val="24"/>
          <w:szCs w:val="24"/>
        </w:rPr>
        <w:footnoteReference w:id="44"/>
      </w:r>
    </w:p>
    <w:p w:rsidR="00AC07BE" w:rsidRDefault="002A3311" w:rsidP="001D2105">
      <w:pPr>
        <w:spacing w:after="0"/>
        <w:jc w:val="both"/>
        <w:rPr>
          <w:sz w:val="24"/>
          <w:szCs w:val="24"/>
        </w:rPr>
      </w:pPr>
      <w:r>
        <w:rPr>
          <w:sz w:val="24"/>
          <w:szCs w:val="24"/>
        </w:rPr>
        <w:lastRenderedPageBreak/>
        <w:tab/>
        <w:t>Mit Recht spricht Wolfgang Klein in seiner Einleitung</w:t>
      </w:r>
      <w:r w:rsidR="00060ECA">
        <w:rPr>
          <w:sz w:val="24"/>
          <w:szCs w:val="24"/>
        </w:rPr>
        <w:t xml:space="preserve"> zu </w:t>
      </w:r>
      <w:r w:rsidR="00060ECA">
        <w:rPr>
          <w:i/>
          <w:sz w:val="24"/>
          <w:szCs w:val="24"/>
        </w:rPr>
        <w:t>Paris 1935</w:t>
      </w:r>
      <w:r w:rsidR="00060ECA">
        <w:rPr>
          <w:sz w:val="24"/>
          <w:szCs w:val="24"/>
        </w:rPr>
        <w:t xml:space="preserve"> davon, dass der Kongress seit langem „Legende“ geworden ist.</w:t>
      </w:r>
      <w:r w:rsidR="00060ECA">
        <w:rPr>
          <w:rStyle w:val="Funotenzeichen"/>
          <w:sz w:val="24"/>
          <w:szCs w:val="24"/>
        </w:rPr>
        <w:footnoteReference w:id="45"/>
      </w:r>
      <w:r w:rsidR="00060ECA">
        <w:rPr>
          <w:sz w:val="24"/>
          <w:szCs w:val="24"/>
        </w:rPr>
        <w:t xml:space="preserve"> Das liegt zum einen an der Reputation der Schriftsteller, die auf dem Kongress Reden hielten – von André Gide, Henri Barbusse, André Malraux, Louis Aragon, Tristan </w:t>
      </w:r>
      <w:proofErr w:type="spellStart"/>
      <w:r w:rsidR="00060ECA">
        <w:rPr>
          <w:sz w:val="24"/>
          <w:szCs w:val="24"/>
        </w:rPr>
        <w:t>Tzara</w:t>
      </w:r>
      <w:proofErr w:type="spellEnd"/>
      <w:r w:rsidR="00060ECA">
        <w:rPr>
          <w:sz w:val="24"/>
          <w:szCs w:val="24"/>
        </w:rPr>
        <w:t xml:space="preserve">, André Breton führt die Reihe </w:t>
      </w:r>
      <w:r w:rsidR="00124BA0">
        <w:rPr>
          <w:sz w:val="24"/>
          <w:szCs w:val="24"/>
        </w:rPr>
        <w:t xml:space="preserve">illustrer Namen </w:t>
      </w:r>
      <w:r w:rsidR="00060ECA">
        <w:rPr>
          <w:sz w:val="24"/>
          <w:szCs w:val="24"/>
        </w:rPr>
        <w:t>zu R</w:t>
      </w:r>
      <w:r w:rsidR="00060ECA">
        <w:rPr>
          <w:sz w:val="24"/>
          <w:szCs w:val="24"/>
        </w:rPr>
        <w:t>o</w:t>
      </w:r>
      <w:r w:rsidR="00060ECA">
        <w:rPr>
          <w:sz w:val="24"/>
          <w:szCs w:val="24"/>
        </w:rPr>
        <w:t xml:space="preserve">bert Musil, Heinrich Mann, Bertolt Brecht, </w:t>
      </w:r>
      <w:r w:rsidR="00124BA0">
        <w:rPr>
          <w:sz w:val="24"/>
          <w:szCs w:val="24"/>
        </w:rPr>
        <w:t xml:space="preserve">Anna Seghers, </w:t>
      </w:r>
      <w:r w:rsidR="00060ECA">
        <w:rPr>
          <w:sz w:val="24"/>
          <w:szCs w:val="24"/>
        </w:rPr>
        <w:t>Klaus Mann, Lion Feuchtwanger</w:t>
      </w:r>
      <w:r w:rsidR="00124BA0">
        <w:rPr>
          <w:sz w:val="24"/>
          <w:szCs w:val="24"/>
        </w:rPr>
        <w:t xml:space="preserve">, Ilja Ehrenburg, Michael </w:t>
      </w:r>
      <w:proofErr w:type="spellStart"/>
      <w:r w:rsidR="00124BA0">
        <w:rPr>
          <w:sz w:val="24"/>
          <w:szCs w:val="24"/>
        </w:rPr>
        <w:t>Kolzow</w:t>
      </w:r>
      <w:proofErr w:type="spellEnd"/>
      <w:r w:rsidR="00124BA0">
        <w:rPr>
          <w:sz w:val="24"/>
          <w:szCs w:val="24"/>
        </w:rPr>
        <w:t>, Alexei Tolstoi – um nur einen Teil der prominenten Tei</w:t>
      </w:r>
      <w:r w:rsidR="00124BA0">
        <w:rPr>
          <w:sz w:val="24"/>
          <w:szCs w:val="24"/>
        </w:rPr>
        <w:t>l</w:t>
      </w:r>
      <w:r w:rsidR="00124BA0">
        <w:rPr>
          <w:sz w:val="24"/>
          <w:szCs w:val="24"/>
        </w:rPr>
        <w:t xml:space="preserve">nehmer aufzulisten. </w:t>
      </w:r>
      <w:r w:rsidR="00D865BF">
        <w:rPr>
          <w:sz w:val="24"/>
          <w:szCs w:val="24"/>
        </w:rPr>
        <w:t>Entscheidend</w:t>
      </w:r>
      <w:r w:rsidR="00AC07BE">
        <w:rPr>
          <w:sz w:val="24"/>
          <w:szCs w:val="24"/>
        </w:rPr>
        <w:t xml:space="preserve"> aber war vermutlich die Resonanz, auf die der Kongress in der französischen Öffentlichkeit stieß.</w:t>
      </w:r>
    </w:p>
    <w:p w:rsidR="00AC07BE" w:rsidRPr="0057287F" w:rsidRDefault="00946B77" w:rsidP="001D2105">
      <w:pPr>
        <w:spacing w:after="0"/>
        <w:ind w:firstLine="708"/>
        <w:jc w:val="both"/>
        <w:rPr>
          <w:sz w:val="24"/>
          <w:szCs w:val="24"/>
        </w:rPr>
      </w:pPr>
      <w:r>
        <w:rPr>
          <w:sz w:val="24"/>
          <w:szCs w:val="24"/>
        </w:rPr>
        <w:t>B</w:t>
      </w:r>
      <w:r w:rsidR="00AC07BE">
        <w:rPr>
          <w:sz w:val="24"/>
          <w:szCs w:val="24"/>
        </w:rPr>
        <w:t xml:space="preserve">ei genauer Lektüre der Kongressreden wird man </w:t>
      </w:r>
      <w:r w:rsidR="00D865BF">
        <w:rPr>
          <w:sz w:val="24"/>
          <w:szCs w:val="24"/>
        </w:rPr>
        <w:t xml:space="preserve">Wolfgang Kleins </w:t>
      </w:r>
      <w:r w:rsidR="00AC07BE">
        <w:rPr>
          <w:sz w:val="24"/>
          <w:szCs w:val="24"/>
        </w:rPr>
        <w:t>emphatische</w:t>
      </w:r>
      <w:r w:rsidR="00D865BF">
        <w:rPr>
          <w:sz w:val="24"/>
          <w:szCs w:val="24"/>
        </w:rPr>
        <w:t>m</w:t>
      </w:r>
      <w:r w:rsidR="00AC07BE">
        <w:rPr>
          <w:sz w:val="24"/>
          <w:szCs w:val="24"/>
        </w:rPr>
        <w:t xml:space="preserve"> U</w:t>
      </w:r>
      <w:r w:rsidR="00AC07BE">
        <w:rPr>
          <w:sz w:val="24"/>
          <w:szCs w:val="24"/>
        </w:rPr>
        <w:t>r</w:t>
      </w:r>
      <w:r w:rsidR="00AC07BE">
        <w:rPr>
          <w:sz w:val="24"/>
          <w:szCs w:val="24"/>
        </w:rPr>
        <w:t>teil n</w:t>
      </w:r>
      <w:r w:rsidR="0057287F">
        <w:rPr>
          <w:sz w:val="24"/>
          <w:szCs w:val="24"/>
        </w:rPr>
        <w:t>ur</w:t>
      </w:r>
      <w:r w:rsidR="00AC07BE">
        <w:rPr>
          <w:sz w:val="24"/>
          <w:szCs w:val="24"/>
        </w:rPr>
        <w:t xml:space="preserve"> </w:t>
      </w:r>
      <w:r w:rsidR="0057287F">
        <w:rPr>
          <w:sz w:val="24"/>
          <w:szCs w:val="24"/>
        </w:rPr>
        <w:t>bedingt</w:t>
      </w:r>
      <w:r w:rsidR="00AC07BE">
        <w:rPr>
          <w:sz w:val="24"/>
          <w:szCs w:val="24"/>
        </w:rPr>
        <w:t xml:space="preserve"> zustimmen. </w:t>
      </w:r>
      <w:r w:rsidR="00124BA0">
        <w:rPr>
          <w:sz w:val="24"/>
          <w:szCs w:val="24"/>
        </w:rPr>
        <w:t>D</w:t>
      </w:r>
      <w:r>
        <w:rPr>
          <w:sz w:val="24"/>
          <w:szCs w:val="24"/>
        </w:rPr>
        <w:t>er Gegenstand</w:t>
      </w:r>
      <w:r w:rsidR="00124BA0">
        <w:rPr>
          <w:sz w:val="24"/>
          <w:szCs w:val="24"/>
        </w:rPr>
        <w:t xml:space="preserve"> des Kongresses war, wie André Gide in seiner Eröffnungsansprache hervorhob</w:t>
      </w:r>
      <w:r w:rsidR="00D865BF">
        <w:rPr>
          <w:sz w:val="24"/>
          <w:szCs w:val="24"/>
        </w:rPr>
        <w:t>,</w:t>
      </w:r>
      <w:r w:rsidR="00124BA0">
        <w:rPr>
          <w:sz w:val="24"/>
          <w:szCs w:val="24"/>
        </w:rPr>
        <w:t xml:space="preserve"> </w:t>
      </w:r>
      <w:r w:rsidR="0057287F">
        <w:rPr>
          <w:sz w:val="24"/>
          <w:szCs w:val="24"/>
        </w:rPr>
        <w:t>„</w:t>
      </w:r>
      <w:r w:rsidR="00124BA0">
        <w:rPr>
          <w:sz w:val="24"/>
          <w:szCs w:val="24"/>
        </w:rPr>
        <w:t xml:space="preserve">die Kultur“: der Umfang des Begriffes, </w:t>
      </w:r>
      <w:r w:rsidR="00D865BF">
        <w:rPr>
          <w:sz w:val="24"/>
          <w:szCs w:val="24"/>
        </w:rPr>
        <w:t>di</w:t>
      </w:r>
      <w:r w:rsidR="00124BA0">
        <w:rPr>
          <w:sz w:val="24"/>
          <w:szCs w:val="24"/>
        </w:rPr>
        <w:t xml:space="preserve">e Bedeutung </w:t>
      </w:r>
      <w:r w:rsidR="00D865BF">
        <w:rPr>
          <w:sz w:val="24"/>
          <w:szCs w:val="24"/>
        </w:rPr>
        <w:t xml:space="preserve">der Kultur als „gemeinsames Gut“ </w:t>
      </w:r>
      <w:r w:rsidR="00124BA0">
        <w:rPr>
          <w:sz w:val="24"/>
          <w:szCs w:val="24"/>
        </w:rPr>
        <w:t xml:space="preserve">und ihre aktuelle Bedrohung. </w:t>
      </w:r>
      <w:r>
        <w:rPr>
          <w:sz w:val="24"/>
          <w:szCs w:val="24"/>
        </w:rPr>
        <w:t>Das</w:t>
      </w:r>
      <w:r w:rsidR="00DD4086">
        <w:rPr>
          <w:sz w:val="24"/>
          <w:szCs w:val="24"/>
        </w:rPr>
        <w:t xml:space="preserve"> entsprechende Programm war zuvor in einem speziellen Arbeitsplan</w:t>
      </w:r>
      <w:r w:rsidR="0057287F">
        <w:rPr>
          <w:sz w:val="24"/>
          <w:szCs w:val="24"/>
        </w:rPr>
        <w:t>, der als „Aufruf zum Kongre</w:t>
      </w:r>
      <w:r>
        <w:rPr>
          <w:sz w:val="24"/>
          <w:szCs w:val="24"/>
        </w:rPr>
        <w:t>ss</w:t>
      </w:r>
      <w:r w:rsidR="0057287F">
        <w:rPr>
          <w:sz w:val="24"/>
          <w:szCs w:val="24"/>
        </w:rPr>
        <w:t>“ fungierte,</w:t>
      </w:r>
      <w:r w:rsidR="00DD4086">
        <w:rPr>
          <w:sz w:val="24"/>
          <w:szCs w:val="24"/>
        </w:rPr>
        <w:t xml:space="preserve"> </w:t>
      </w:r>
      <w:r>
        <w:rPr>
          <w:sz w:val="24"/>
          <w:szCs w:val="24"/>
        </w:rPr>
        <w:t>genauer erläute</w:t>
      </w:r>
      <w:r w:rsidR="00DD4086">
        <w:rPr>
          <w:sz w:val="24"/>
          <w:szCs w:val="24"/>
        </w:rPr>
        <w:t>rt worden.</w:t>
      </w:r>
      <w:r w:rsidR="00DD4086">
        <w:rPr>
          <w:rStyle w:val="Funotenzeichen"/>
          <w:sz w:val="24"/>
          <w:szCs w:val="24"/>
        </w:rPr>
        <w:footnoteReference w:id="46"/>
      </w:r>
      <w:r w:rsidR="00DD4086">
        <w:rPr>
          <w:sz w:val="24"/>
          <w:szCs w:val="24"/>
        </w:rPr>
        <w:t xml:space="preserve"> </w:t>
      </w:r>
      <w:r>
        <w:rPr>
          <w:sz w:val="24"/>
          <w:szCs w:val="24"/>
        </w:rPr>
        <w:t>E</w:t>
      </w:r>
      <w:r w:rsidR="0057287F">
        <w:rPr>
          <w:sz w:val="24"/>
          <w:szCs w:val="24"/>
        </w:rPr>
        <w:t>s führt acht thematische Gruppen auf: Das Kulturerbe, Humanismus, Nation und Kultur, Das Individuum, Die Würde des Denkens, Die Rolle des Schriftstellers in der Gesellschaft, Literarisches Schaffen, Die Tätigkeit des Schriftstellers zur Verteidigung der Kultur. Den Leitgegriffen folgen 42 Einzelbegriffe: Tradition und Erfindung, Bewahrung und Schutz der kulturellen Werte, Zukunft der Kultur, Humanismus und Nationalität, Humani</w:t>
      </w:r>
      <w:r w:rsidR="0057287F">
        <w:rPr>
          <w:sz w:val="24"/>
          <w:szCs w:val="24"/>
        </w:rPr>
        <w:t>s</w:t>
      </w:r>
      <w:r w:rsidR="0057287F">
        <w:rPr>
          <w:sz w:val="24"/>
          <w:szCs w:val="24"/>
        </w:rPr>
        <w:t xml:space="preserve">mus und Individuum, Proletarischer Humanismus, Mensch und Maschine usw. Nur </w:t>
      </w:r>
      <w:r w:rsidR="0057287F">
        <w:rPr>
          <w:i/>
          <w:sz w:val="24"/>
          <w:szCs w:val="24"/>
        </w:rPr>
        <w:t>eines</w:t>
      </w:r>
      <w:r w:rsidR="0057287F">
        <w:rPr>
          <w:sz w:val="24"/>
          <w:szCs w:val="24"/>
        </w:rPr>
        <w:t xml:space="preserve"> di</w:t>
      </w:r>
      <w:r w:rsidR="0057287F">
        <w:rPr>
          <w:sz w:val="24"/>
          <w:szCs w:val="24"/>
        </w:rPr>
        <w:t>e</w:t>
      </w:r>
      <w:r w:rsidR="0057287F">
        <w:rPr>
          <w:sz w:val="24"/>
          <w:szCs w:val="24"/>
        </w:rPr>
        <w:t xml:space="preserve">ser Themen: Direkte und indirekte Formen der Zensur, </w:t>
      </w:r>
      <w:r>
        <w:rPr>
          <w:sz w:val="24"/>
          <w:szCs w:val="24"/>
        </w:rPr>
        <w:t>war</w:t>
      </w:r>
      <w:r w:rsidR="0057287F">
        <w:rPr>
          <w:sz w:val="24"/>
          <w:szCs w:val="24"/>
        </w:rPr>
        <w:t xml:space="preserve"> den aktuellen Problemen </w:t>
      </w:r>
      <w:r w:rsidR="001649E4">
        <w:rPr>
          <w:sz w:val="24"/>
          <w:szCs w:val="24"/>
        </w:rPr>
        <w:t xml:space="preserve">der „Verteidigung der Kultur“ </w:t>
      </w:r>
      <w:r w:rsidR="0057287F">
        <w:rPr>
          <w:sz w:val="24"/>
          <w:szCs w:val="24"/>
        </w:rPr>
        <w:t xml:space="preserve">gewidmet. </w:t>
      </w:r>
      <w:r w:rsidR="00A930F3">
        <w:rPr>
          <w:sz w:val="24"/>
          <w:szCs w:val="24"/>
        </w:rPr>
        <w:t xml:space="preserve">Zentrale </w:t>
      </w:r>
      <w:r w:rsidR="00A75ED6">
        <w:rPr>
          <w:sz w:val="24"/>
          <w:szCs w:val="24"/>
        </w:rPr>
        <w:t>Gege</w:t>
      </w:r>
      <w:r w:rsidR="001649E4">
        <w:rPr>
          <w:sz w:val="24"/>
          <w:szCs w:val="24"/>
        </w:rPr>
        <w:t>n</w:t>
      </w:r>
      <w:r w:rsidR="00A75ED6">
        <w:rPr>
          <w:sz w:val="24"/>
          <w:szCs w:val="24"/>
        </w:rPr>
        <w:t>stände</w:t>
      </w:r>
      <w:r w:rsidR="00A930F3">
        <w:rPr>
          <w:sz w:val="24"/>
          <w:szCs w:val="24"/>
        </w:rPr>
        <w:t xml:space="preserve"> wie Pressefreiheit, Meinungsfre</w:t>
      </w:r>
      <w:r w:rsidR="00A930F3">
        <w:rPr>
          <w:sz w:val="24"/>
          <w:szCs w:val="24"/>
        </w:rPr>
        <w:t>i</w:t>
      </w:r>
      <w:r w:rsidR="00A930F3">
        <w:rPr>
          <w:sz w:val="24"/>
          <w:szCs w:val="24"/>
        </w:rPr>
        <w:t>heit, Informationsfreiheit</w:t>
      </w:r>
      <w:r w:rsidR="00A75ED6">
        <w:rPr>
          <w:sz w:val="24"/>
          <w:szCs w:val="24"/>
        </w:rPr>
        <w:t>, Versammlungsfreiheit</w:t>
      </w:r>
      <w:r w:rsidR="001649E4">
        <w:rPr>
          <w:sz w:val="24"/>
          <w:szCs w:val="24"/>
        </w:rPr>
        <w:t>, das Recht auf freien Zugang zu literarischen Publikationen usw.</w:t>
      </w:r>
      <w:r w:rsidR="00430A21">
        <w:rPr>
          <w:sz w:val="24"/>
          <w:szCs w:val="24"/>
        </w:rPr>
        <w:t>,</w:t>
      </w:r>
      <w:r w:rsidR="00A75ED6">
        <w:rPr>
          <w:sz w:val="24"/>
          <w:szCs w:val="24"/>
        </w:rPr>
        <w:t xml:space="preserve"> w</w:t>
      </w:r>
      <w:r>
        <w:rPr>
          <w:sz w:val="24"/>
          <w:szCs w:val="24"/>
        </w:rPr>
        <w:t>u</w:t>
      </w:r>
      <w:r w:rsidR="00A75ED6">
        <w:rPr>
          <w:sz w:val="24"/>
          <w:szCs w:val="24"/>
        </w:rPr>
        <w:t xml:space="preserve">rden </w:t>
      </w:r>
      <w:r w:rsidR="00A75ED6" w:rsidRPr="00D865BF">
        <w:rPr>
          <w:i/>
          <w:sz w:val="24"/>
          <w:szCs w:val="24"/>
        </w:rPr>
        <w:t>nicht</w:t>
      </w:r>
      <w:r w:rsidR="00A75ED6">
        <w:rPr>
          <w:sz w:val="24"/>
          <w:szCs w:val="24"/>
        </w:rPr>
        <w:t xml:space="preserve"> angesprochen. </w:t>
      </w:r>
      <w:r w:rsidR="001649E4">
        <w:rPr>
          <w:sz w:val="24"/>
          <w:szCs w:val="24"/>
        </w:rPr>
        <w:t xml:space="preserve">Die Themenstellung </w:t>
      </w:r>
      <w:r>
        <w:rPr>
          <w:sz w:val="24"/>
          <w:szCs w:val="24"/>
        </w:rPr>
        <w:t>war</w:t>
      </w:r>
      <w:r w:rsidR="001649E4">
        <w:rPr>
          <w:sz w:val="24"/>
          <w:szCs w:val="24"/>
        </w:rPr>
        <w:t xml:space="preserve"> auf erstaunliche Weise kulturkonservativ geprägt. </w:t>
      </w:r>
      <w:r w:rsidR="003257A4">
        <w:rPr>
          <w:sz w:val="24"/>
          <w:szCs w:val="24"/>
        </w:rPr>
        <w:t>Selbst das aufrüttelnde Pathos Victor Hugo</w:t>
      </w:r>
      <w:r w:rsidR="00430A21">
        <w:rPr>
          <w:sz w:val="24"/>
          <w:szCs w:val="24"/>
        </w:rPr>
        <w:t>s</w:t>
      </w:r>
      <w:r w:rsidR="003257A4">
        <w:rPr>
          <w:sz w:val="24"/>
          <w:szCs w:val="24"/>
        </w:rPr>
        <w:t xml:space="preserve"> wird von André Gide </w:t>
      </w:r>
      <w:r w:rsidR="00430A21">
        <w:rPr>
          <w:sz w:val="24"/>
          <w:szCs w:val="24"/>
        </w:rPr>
        <w:t xml:space="preserve">in seiner </w:t>
      </w:r>
      <w:r w:rsidR="00D865BF">
        <w:rPr>
          <w:sz w:val="24"/>
          <w:szCs w:val="24"/>
        </w:rPr>
        <w:t>R</w:t>
      </w:r>
      <w:r w:rsidR="00430A21">
        <w:rPr>
          <w:sz w:val="24"/>
          <w:szCs w:val="24"/>
        </w:rPr>
        <w:t xml:space="preserve">ede </w:t>
      </w:r>
      <w:r w:rsidR="003257A4">
        <w:rPr>
          <w:sz w:val="24"/>
          <w:szCs w:val="24"/>
        </w:rPr>
        <w:t>nur indirekt angesprochen als von der konservativen Kritik m</w:t>
      </w:r>
      <w:r w:rsidR="003257A4">
        <w:rPr>
          <w:sz w:val="24"/>
          <w:szCs w:val="24"/>
        </w:rPr>
        <w:t>o</w:t>
      </w:r>
      <w:r w:rsidR="003257A4">
        <w:rPr>
          <w:sz w:val="24"/>
          <w:szCs w:val="24"/>
        </w:rPr>
        <w:t>nierte „Dummheit“.</w:t>
      </w:r>
      <w:r w:rsidR="003257A4">
        <w:rPr>
          <w:rStyle w:val="Funotenzeichen"/>
          <w:sz w:val="24"/>
          <w:szCs w:val="24"/>
        </w:rPr>
        <w:footnoteReference w:id="47"/>
      </w:r>
      <w:r w:rsidR="003257A4">
        <w:rPr>
          <w:sz w:val="24"/>
          <w:szCs w:val="24"/>
        </w:rPr>
        <w:t xml:space="preserve"> </w:t>
      </w:r>
      <w:r w:rsidR="00430A21">
        <w:rPr>
          <w:sz w:val="24"/>
          <w:szCs w:val="24"/>
        </w:rPr>
        <w:t xml:space="preserve">Gide hebt bei Hugo </w:t>
      </w:r>
      <w:r w:rsidR="00D865BF">
        <w:rPr>
          <w:sz w:val="24"/>
          <w:szCs w:val="24"/>
        </w:rPr>
        <w:t>stattdessen</w:t>
      </w:r>
      <w:r w:rsidR="00430A21">
        <w:rPr>
          <w:sz w:val="24"/>
          <w:szCs w:val="24"/>
        </w:rPr>
        <w:t xml:space="preserve"> die „gewaltige Anstrengung“ hervor, „sich dem Volk zu nähern“.</w:t>
      </w:r>
      <w:r w:rsidR="00430A21">
        <w:rPr>
          <w:rStyle w:val="Funotenzeichen"/>
          <w:sz w:val="24"/>
          <w:szCs w:val="24"/>
        </w:rPr>
        <w:footnoteReference w:id="48"/>
      </w:r>
      <w:r w:rsidR="00430A21">
        <w:rPr>
          <w:sz w:val="24"/>
          <w:szCs w:val="24"/>
        </w:rPr>
        <w:t xml:space="preserve"> </w:t>
      </w:r>
      <w:r w:rsidR="003257A4">
        <w:rPr>
          <w:sz w:val="24"/>
          <w:szCs w:val="24"/>
        </w:rPr>
        <w:t xml:space="preserve">Auch bei Zola </w:t>
      </w:r>
      <w:r w:rsidR="00430A21">
        <w:rPr>
          <w:sz w:val="24"/>
          <w:szCs w:val="24"/>
        </w:rPr>
        <w:t>erwähn</w:t>
      </w:r>
      <w:r w:rsidR="003257A4">
        <w:rPr>
          <w:sz w:val="24"/>
          <w:szCs w:val="24"/>
        </w:rPr>
        <w:t>t Gide nicht „</w:t>
      </w:r>
      <w:proofErr w:type="spellStart"/>
      <w:r w:rsidR="003257A4">
        <w:rPr>
          <w:sz w:val="24"/>
          <w:szCs w:val="24"/>
        </w:rPr>
        <w:t>J’accuse</w:t>
      </w:r>
      <w:proofErr w:type="spellEnd"/>
      <w:r w:rsidR="003257A4">
        <w:rPr>
          <w:sz w:val="24"/>
          <w:szCs w:val="24"/>
        </w:rPr>
        <w:t xml:space="preserve">!“, </w:t>
      </w:r>
      <w:r w:rsidR="00430A21">
        <w:rPr>
          <w:sz w:val="24"/>
          <w:szCs w:val="24"/>
        </w:rPr>
        <w:t xml:space="preserve">also den Artikel, der mit einem Schlag das </w:t>
      </w:r>
      <w:r w:rsidR="00D865BF">
        <w:rPr>
          <w:sz w:val="24"/>
          <w:szCs w:val="24"/>
        </w:rPr>
        <w:t xml:space="preserve">französische </w:t>
      </w:r>
      <w:r w:rsidR="00430A21">
        <w:rPr>
          <w:sz w:val="24"/>
          <w:szCs w:val="24"/>
        </w:rPr>
        <w:t xml:space="preserve">Bürgertum in zwei Parteien spaltete, </w:t>
      </w:r>
      <w:r w:rsidR="003257A4">
        <w:rPr>
          <w:sz w:val="24"/>
          <w:szCs w:val="24"/>
        </w:rPr>
        <w:t xml:space="preserve">sondern die „Tendenz zur Synthese“. </w:t>
      </w:r>
      <w:r w:rsidR="00430A21">
        <w:rPr>
          <w:sz w:val="24"/>
          <w:szCs w:val="24"/>
        </w:rPr>
        <w:t>– D</w:t>
      </w:r>
      <w:r w:rsidR="001649E4">
        <w:rPr>
          <w:sz w:val="24"/>
          <w:szCs w:val="24"/>
        </w:rPr>
        <w:t xml:space="preserve">ie Gründe </w:t>
      </w:r>
      <w:r w:rsidR="003257A4">
        <w:rPr>
          <w:sz w:val="24"/>
          <w:szCs w:val="24"/>
        </w:rPr>
        <w:t xml:space="preserve">für diese Zurückhaltung, </w:t>
      </w:r>
      <w:r w:rsidR="00430A21">
        <w:rPr>
          <w:sz w:val="24"/>
          <w:szCs w:val="24"/>
        </w:rPr>
        <w:t>die Betonung mehr der g</w:t>
      </w:r>
      <w:r w:rsidR="00430A21">
        <w:rPr>
          <w:sz w:val="24"/>
          <w:szCs w:val="24"/>
        </w:rPr>
        <w:t>e</w:t>
      </w:r>
      <w:r w:rsidR="00430A21">
        <w:rPr>
          <w:sz w:val="24"/>
          <w:szCs w:val="24"/>
        </w:rPr>
        <w:t xml:space="preserve">meinsamen als der trennenden Elemente, </w:t>
      </w:r>
      <w:r w:rsidR="001649E4">
        <w:rPr>
          <w:sz w:val="24"/>
          <w:szCs w:val="24"/>
        </w:rPr>
        <w:t>liegen auf der Hand</w:t>
      </w:r>
      <w:r w:rsidR="00430A21">
        <w:rPr>
          <w:sz w:val="24"/>
          <w:szCs w:val="24"/>
        </w:rPr>
        <w:t xml:space="preserve">. Nicht das </w:t>
      </w:r>
      <w:r w:rsidR="00430A21" w:rsidRPr="00D865BF">
        <w:rPr>
          <w:i/>
          <w:sz w:val="24"/>
          <w:szCs w:val="24"/>
        </w:rPr>
        <w:t>französische</w:t>
      </w:r>
      <w:r w:rsidR="00430A21">
        <w:rPr>
          <w:sz w:val="24"/>
          <w:szCs w:val="24"/>
        </w:rPr>
        <w:t xml:space="preserve"> </w:t>
      </w:r>
      <w:r w:rsidR="007E339D">
        <w:rPr>
          <w:sz w:val="24"/>
          <w:szCs w:val="24"/>
        </w:rPr>
        <w:t>Be</w:t>
      </w:r>
      <w:r w:rsidR="007E339D">
        <w:rPr>
          <w:sz w:val="24"/>
          <w:szCs w:val="24"/>
        </w:rPr>
        <w:t>i</w:t>
      </w:r>
      <w:r w:rsidR="007E339D">
        <w:rPr>
          <w:sz w:val="24"/>
          <w:szCs w:val="24"/>
        </w:rPr>
        <w:t>spiel</w:t>
      </w:r>
      <w:r w:rsidR="001649E4">
        <w:rPr>
          <w:sz w:val="24"/>
          <w:szCs w:val="24"/>
        </w:rPr>
        <w:t>:</w:t>
      </w:r>
      <w:r w:rsidR="00430A21">
        <w:rPr>
          <w:sz w:val="24"/>
          <w:szCs w:val="24"/>
        </w:rPr>
        <w:t xml:space="preserve"> die offene</w:t>
      </w:r>
      <w:r w:rsidR="00D865BF">
        <w:rPr>
          <w:sz w:val="24"/>
          <w:szCs w:val="24"/>
        </w:rPr>
        <w:t>, kontrovers geführte</w:t>
      </w:r>
      <w:r w:rsidR="00430A21">
        <w:rPr>
          <w:sz w:val="24"/>
          <w:szCs w:val="24"/>
        </w:rPr>
        <w:t xml:space="preserve"> Auseinandersetzung </w:t>
      </w:r>
      <w:r w:rsidR="007E339D" w:rsidRPr="006F1DDF">
        <w:rPr>
          <w:i/>
          <w:sz w:val="24"/>
          <w:szCs w:val="24"/>
        </w:rPr>
        <w:t>zwischen</w:t>
      </w:r>
      <w:r w:rsidR="00430A21">
        <w:rPr>
          <w:sz w:val="24"/>
          <w:szCs w:val="24"/>
        </w:rPr>
        <w:t xml:space="preserve"> den Literaten</w:t>
      </w:r>
      <w:r w:rsidR="007E339D">
        <w:rPr>
          <w:sz w:val="24"/>
          <w:szCs w:val="24"/>
        </w:rPr>
        <w:t xml:space="preserve"> bzw. zw</w:t>
      </w:r>
      <w:r w:rsidR="007E339D">
        <w:rPr>
          <w:sz w:val="24"/>
          <w:szCs w:val="24"/>
        </w:rPr>
        <w:t>i</w:t>
      </w:r>
      <w:r w:rsidR="007E339D">
        <w:rPr>
          <w:sz w:val="24"/>
          <w:szCs w:val="24"/>
        </w:rPr>
        <w:t>schen den Schriftstellern und der Regierung</w:t>
      </w:r>
      <w:r w:rsidR="00430A21">
        <w:rPr>
          <w:sz w:val="24"/>
          <w:szCs w:val="24"/>
        </w:rPr>
        <w:t xml:space="preserve"> </w:t>
      </w:r>
      <w:r w:rsidR="007E339D">
        <w:rPr>
          <w:sz w:val="24"/>
          <w:szCs w:val="24"/>
        </w:rPr>
        <w:t>sollte als Vorbild herausgestellt werden, sondern d</w:t>
      </w:r>
      <w:r w:rsidR="006F1DDF">
        <w:rPr>
          <w:sz w:val="24"/>
          <w:szCs w:val="24"/>
        </w:rPr>
        <w:t>as</w:t>
      </w:r>
      <w:r w:rsidR="00430A21">
        <w:rPr>
          <w:sz w:val="24"/>
          <w:szCs w:val="24"/>
        </w:rPr>
        <w:t xml:space="preserve"> </w:t>
      </w:r>
      <w:r w:rsidR="00430A21" w:rsidRPr="006F1DDF">
        <w:rPr>
          <w:i/>
          <w:sz w:val="24"/>
          <w:szCs w:val="24"/>
        </w:rPr>
        <w:t>sowjetische</w:t>
      </w:r>
      <w:r w:rsidR="00430A21">
        <w:rPr>
          <w:sz w:val="24"/>
          <w:szCs w:val="24"/>
        </w:rPr>
        <w:t xml:space="preserve"> </w:t>
      </w:r>
      <w:r w:rsidR="006F1DDF">
        <w:rPr>
          <w:sz w:val="24"/>
          <w:szCs w:val="24"/>
        </w:rPr>
        <w:t>Beispiel</w:t>
      </w:r>
      <w:r w:rsidR="007E339D">
        <w:rPr>
          <w:sz w:val="24"/>
          <w:szCs w:val="24"/>
        </w:rPr>
        <w:t>: das Modell der „direkten Verbindung“ von Schriftsteller und L</w:t>
      </w:r>
      <w:r w:rsidR="007E339D">
        <w:rPr>
          <w:sz w:val="24"/>
          <w:szCs w:val="24"/>
        </w:rPr>
        <w:t>e</w:t>
      </w:r>
      <w:r w:rsidR="007E339D">
        <w:rPr>
          <w:sz w:val="24"/>
          <w:szCs w:val="24"/>
        </w:rPr>
        <w:t>ser</w:t>
      </w:r>
      <w:r w:rsidR="00430A21">
        <w:rPr>
          <w:sz w:val="24"/>
          <w:szCs w:val="24"/>
        </w:rPr>
        <w:t>.</w:t>
      </w:r>
      <w:r w:rsidR="007E339D">
        <w:rPr>
          <w:rStyle w:val="Funotenzeichen"/>
          <w:sz w:val="24"/>
          <w:szCs w:val="24"/>
        </w:rPr>
        <w:footnoteReference w:id="49"/>
      </w:r>
      <w:r w:rsidR="00430A21">
        <w:rPr>
          <w:sz w:val="24"/>
          <w:szCs w:val="24"/>
        </w:rPr>
        <w:t xml:space="preserve"> </w:t>
      </w:r>
      <w:r w:rsidR="001649E4">
        <w:rPr>
          <w:sz w:val="24"/>
          <w:szCs w:val="24"/>
        </w:rPr>
        <w:t>Wären die Grund- und Freiheitsrechte</w:t>
      </w:r>
      <w:r w:rsidR="00430A21">
        <w:rPr>
          <w:sz w:val="24"/>
          <w:szCs w:val="24"/>
        </w:rPr>
        <w:t xml:space="preserve"> und die nonkonformistischen, von der Norm „abweichenden“ </w:t>
      </w:r>
      <w:r w:rsidR="006F1DDF">
        <w:rPr>
          <w:sz w:val="24"/>
          <w:szCs w:val="24"/>
        </w:rPr>
        <w:t>künstlerischen Artikulation</w:t>
      </w:r>
      <w:r w:rsidR="001649E4">
        <w:rPr>
          <w:sz w:val="24"/>
          <w:szCs w:val="24"/>
        </w:rPr>
        <w:t xml:space="preserve"> dezidiert angesprochen worden, wäre damit auch die Sowjetunion Gegenstand entsprechender Kritik geworden.</w:t>
      </w:r>
    </w:p>
    <w:p w:rsidR="00DD4086" w:rsidRDefault="00124BA0" w:rsidP="001D2105">
      <w:pPr>
        <w:pStyle w:val="Funotentext"/>
        <w:spacing w:line="276" w:lineRule="auto"/>
        <w:ind w:firstLine="708"/>
        <w:jc w:val="both"/>
        <w:rPr>
          <w:sz w:val="24"/>
          <w:szCs w:val="24"/>
        </w:rPr>
      </w:pPr>
      <w:r>
        <w:rPr>
          <w:sz w:val="24"/>
          <w:szCs w:val="24"/>
        </w:rPr>
        <w:lastRenderedPageBreak/>
        <w:t xml:space="preserve">Wer die auf dem Kongress gehaltenen Reden heute liest, ist </w:t>
      </w:r>
      <w:r w:rsidR="001649E4">
        <w:rPr>
          <w:sz w:val="24"/>
          <w:szCs w:val="24"/>
        </w:rPr>
        <w:t xml:space="preserve">durchaus </w:t>
      </w:r>
      <w:r>
        <w:rPr>
          <w:sz w:val="24"/>
          <w:szCs w:val="24"/>
        </w:rPr>
        <w:t xml:space="preserve">beeindruckt von </w:t>
      </w:r>
      <w:r w:rsidR="00DD4086">
        <w:rPr>
          <w:sz w:val="24"/>
          <w:szCs w:val="24"/>
        </w:rPr>
        <w:t xml:space="preserve">der </w:t>
      </w:r>
      <w:r>
        <w:rPr>
          <w:sz w:val="24"/>
          <w:szCs w:val="24"/>
        </w:rPr>
        <w:t>Differenziertheit der unterschiedlichen Stellungnahmen und Argumentationen. Der Ko</w:t>
      </w:r>
      <w:r>
        <w:rPr>
          <w:sz w:val="24"/>
          <w:szCs w:val="24"/>
        </w:rPr>
        <w:t>n</w:t>
      </w:r>
      <w:r>
        <w:rPr>
          <w:sz w:val="24"/>
          <w:szCs w:val="24"/>
        </w:rPr>
        <w:t xml:space="preserve">gress war eine Veranstaltung </w:t>
      </w:r>
      <w:r w:rsidR="006F1DDF">
        <w:rPr>
          <w:sz w:val="24"/>
          <w:szCs w:val="24"/>
        </w:rPr>
        <w:t>mit</w:t>
      </w:r>
      <w:r w:rsidR="00327CE2">
        <w:rPr>
          <w:sz w:val="24"/>
          <w:szCs w:val="24"/>
        </w:rPr>
        <w:t xml:space="preserve"> konservativer Ausrichtung, allerdings </w:t>
      </w:r>
      <w:r>
        <w:rPr>
          <w:sz w:val="24"/>
          <w:szCs w:val="24"/>
        </w:rPr>
        <w:t xml:space="preserve">auf hohem Niveau. </w:t>
      </w:r>
      <w:r w:rsidR="00327CE2">
        <w:rPr>
          <w:sz w:val="24"/>
          <w:szCs w:val="24"/>
        </w:rPr>
        <w:t>Zuweilen</w:t>
      </w:r>
      <w:r>
        <w:rPr>
          <w:sz w:val="24"/>
          <w:szCs w:val="24"/>
        </w:rPr>
        <w:t xml:space="preserve"> wurde </w:t>
      </w:r>
      <w:r w:rsidR="00327CE2">
        <w:rPr>
          <w:sz w:val="24"/>
          <w:szCs w:val="24"/>
        </w:rPr>
        <w:t>auch</w:t>
      </w:r>
      <w:r>
        <w:rPr>
          <w:sz w:val="24"/>
          <w:szCs w:val="24"/>
        </w:rPr>
        <w:t xml:space="preserve"> kontrovers diskutiert</w:t>
      </w:r>
      <w:r w:rsidR="001649E4">
        <w:rPr>
          <w:sz w:val="24"/>
          <w:szCs w:val="24"/>
        </w:rPr>
        <w:t>. Speziell</w:t>
      </w:r>
      <w:r w:rsidR="001649E4" w:rsidRPr="001649E4">
        <w:rPr>
          <w:sz w:val="24"/>
          <w:szCs w:val="24"/>
        </w:rPr>
        <w:t xml:space="preserve"> die</w:t>
      </w:r>
      <w:r w:rsidR="00946B77">
        <w:rPr>
          <w:sz w:val="24"/>
          <w:szCs w:val="24"/>
        </w:rPr>
        <w:t xml:space="preserve"> wenigen f</w:t>
      </w:r>
      <w:r w:rsidR="001649E4" w:rsidRPr="001649E4">
        <w:rPr>
          <w:sz w:val="24"/>
          <w:szCs w:val="24"/>
        </w:rPr>
        <w:t>ranzösischen Surrealisten</w:t>
      </w:r>
      <w:r w:rsidR="00327CE2">
        <w:rPr>
          <w:sz w:val="24"/>
          <w:szCs w:val="24"/>
        </w:rPr>
        <w:t>, die auf dem Kongress vertreten waren,</w:t>
      </w:r>
      <w:r w:rsidR="001649E4" w:rsidRPr="001649E4">
        <w:rPr>
          <w:sz w:val="24"/>
          <w:szCs w:val="24"/>
        </w:rPr>
        <w:t xml:space="preserve"> entzogen sich der offensichtlich intern </w:t>
      </w:r>
      <w:r w:rsidR="00946B77">
        <w:rPr>
          <w:sz w:val="24"/>
          <w:szCs w:val="24"/>
        </w:rPr>
        <w:t xml:space="preserve">vereinbarten Grundlinie, die gemeinsamen und nicht die trennenden künstlerischen Auffassungen zum Thema zu machen. Umgekehrt unterblieben </w:t>
      </w:r>
      <w:r w:rsidR="00327CE2">
        <w:rPr>
          <w:sz w:val="24"/>
          <w:szCs w:val="24"/>
        </w:rPr>
        <w:t xml:space="preserve">von Seiten der Hauptredner </w:t>
      </w:r>
      <w:r w:rsidR="00946B77">
        <w:rPr>
          <w:sz w:val="24"/>
          <w:szCs w:val="24"/>
        </w:rPr>
        <w:t xml:space="preserve">die </w:t>
      </w:r>
      <w:r w:rsidR="001649E4" w:rsidRPr="001649E4">
        <w:rPr>
          <w:sz w:val="24"/>
          <w:szCs w:val="24"/>
        </w:rPr>
        <w:t>aggressive</w:t>
      </w:r>
      <w:r w:rsidR="00946B77">
        <w:rPr>
          <w:sz w:val="24"/>
          <w:szCs w:val="24"/>
        </w:rPr>
        <w:t>n</w:t>
      </w:r>
      <w:r w:rsidR="001649E4" w:rsidRPr="001649E4">
        <w:rPr>
          <w:sz w:val="24"/>
          <w:szCs w:val="24"/>
        </w:rPr>
        <w:t xml:space="preserve"> Au</w:t>
      </w:r>
      <w:r w:rsidR="001649E4" w:rsidRPr="001649E4">
        <w:rPr>
          <w:sz w:val="24"/>
          <w:szCs w:val="24"/>
        </w:rPr>
        <w:t>s</w:t>
      </w:r>
      <w:r w:rsidR="001649E4" w:rsidRPr="001649E4">
        <w:rPr>
          <w:sz w:val="24"/>
          <w:szCs w:val="24"/>
        </w:rPr>
        <w:t xml:space="preserve">fälle gegen die </w:t>
      </w:r>
      <w:r w:rsidR="00946B77">
        <w:rPr>
          <w:sz w:val="24"/>
          <w:szCs w:val="24"/>
        </w:rPr>
        <w:t xml:space="preserve">literarische </w:t>
      </w:r>
      <w:r w:rsidR="001649E4" w:rsidRPr="001649E4">
        <w:rPr>
          <w:sz w:val="24"/>
          <w:szCs w:val="24"/>
        </w:rPr>
        <w:t>Moderne, die Merkmal des Allunionskongresses gewesen waren</w:t>
      </w:r>
      <w:r w:rsidR="00946B77">
        <w:rPr>
          <w:sz w:val="24"/>
          <w:szCs w:val="24"/>
        </w:rPr>
        <w:t xml:space="preserve">. </w:t>
      </w:r>
      <w:r w:rsidR="00722660">
        <w:rPr>
          <w:sz w:val="24"/>
          <w:szCs w:val="24"/>
        </w:rPr>
        <w:t>Insgesamt wurde ein klarer Wille erkennbar, eine einheitliche, nicht d</w:t>
      </w:r>
      <w:r w:rsidR="00DD4086">
        <w:rPr>
          <w:sz w:val="24"/>
          <w:szCs w:val="24"/>
        </w:rPr>
        <w:t>urch</w:t>
      </w:r>
      <w:r w:rsidR="00722660">
        <w:rPr>
          <w:sz w:val="24"/>
          <w:szCs w:val="24"/>
        </w:rPr>
        <w:t xml:space="preserve"> Abgrenzung, so</w:t>
      </w:r>
      <w:r w:rsidR="00722660">
        <w:rPr>
          <w:sz w:val="24"/>
          <w:szCs w:val="24"/>
        </w:rPr>
        <w:t>n</w:t>
      </w:r>
      <w:r w:rsidR="00722660">
        <w:rPr>
          <w:sz w:val="24"/>
          <w:szCs w:val="24"/>
        </w:rPr>
        <w:t>dern d</w:t>
      </w:r>
      <w:r w:rsidR="00DD4086">
        <w:rPr>
          <w:sz w:val="24"/>
          <w:szCs w:val="24"/>
        </w:rPr>
        <w:t xml:space="preserve">urch </w:t>
      </w:r>
      <w:r w:rsidR="00722660">
        <w:rPr>
          <w:sz w:val="24"/>
          <w:szCs w:val="24"/>
        </w:rPr>
        <w:t>Gemeinsamkeit</w:t>
      </w:r>
      <w:r w:rsidR="00DD4086">
        <w:rPr>
          <w:sz w:val="24"/>
          <w:szCs w:val="24"/>
        </w:rPr>
        <w:t xml:space="preserve"> bestimmte Haltung</w:t>
      </w:r>
      <w:r w:rsidR="00722660">
        <w:rPr>
          <w:sz w:val="24"/>
          <w:szCs w:val="24"/>
        </w:rPr>
        <w:t xml:space="preserve"> „im Kampf gegen den Faschismus“ zu form</w:t>
      </w:r>
      <w:r w:rsidR="00722660">
        <w:rPr>
          <w:sz w:val="24"/>
          <w:szCs w:val="24"/>
        </w:rPr>
        <w:t>u</w:t>
      </w:r>
      <w:r w:rsidR="00722660">
        <w:rPr>
          <w:sz w:val="24"/>
          <w:szCs w:val="24"/>
        </w:rPr>
        <w:t xml:space="preserve">lieren. </w:t>
      </w:r>
    </w:p>
    <w:p w:rsidR="002A3311" w:rsidRDefault="00DD4086" w:rsidP="001D2105">
      <w:pPr>
        <w:spacing w:after="0"/>
        <w:ind w:firstLine="708"/>
        <w:jc w:val="both"/>
        <w:rPr>
          <w:sz w:val="24"/>
          <w:szCs w:val="24"/>
        </w:rPr>
      </w:pPr>
      <w:r>
        <w:rPr>
          <w:sz w:val="24"/>
          <w:szCs w:val="24"/>
        </w:rPr>
        <w:t xml:space="preserve">Einzelne Teilnehmer </w:t>
      </w:r>
      <w:r w:rsidR="00722660">
        <w:rPr>
          <w:sz w:val="24"/>
          <w:szCs w:val="24"/>
        </w:rPr>
        <w:t>brach</w:t>
      </w:r>
      <w:r>
        <w:rPr>
          <w:sz w:val="24"/>
          <w:szCs w:val="24"/>
        </w:rPr>
        <w:t xml:space="preserve">en </w:t>
      </w:r>
      <w:r w:rsidR="00722660">
        <w:rPr>
          <w:sz w:val="24"/>
          <w:szCs w:val="24"/>
        </w:rPr>
        <w:t>aus dem auf Harmonie abgestimmten Konzept aus</w:t>
      </w:r>
      <w:r>
        <w:rPr>
          <w:sz w:val="24"/>
          <w:szCs w:val="24"/>
        </w:rPr>
        <w:t>. So schloss</w:t>
      </w:r>
      <w:r w:rsidR="00722660">
        <w:rPr>
          <w:sz w:val="24"/>
          <w:szCs w:val="24"/>
        </w:rPr>
        <w:t xml:space="preserve"> </w:t>
      </w:r>
      <w:r>
        <w:rPr>
          <w:sz w:val="24"/>
          <w:szCs w:val="24"/>
        </w:rPr>
        <w:t xml:space="preserve">Brecht seine Kongressrede </w:t>
      </w:r>
      <w:r w:rsidR="00212A34">
        <w:rPr>
          <w:sz w:val="24"/>
          <w:szCs w:val="24"/>
        </w:rPr>
        <w:t>mit dem Satz: „Kameraden, sprechen wir von den Eige</w:t>
      </w:r>
      <w:r w:rsidR="00212A34">
        <w:rPr>
          <w:sz w:val="24"/>
          <w:szCs w:val="24"/>
        </w:rPr>
        <w:t>n</w:t>
      </w:r>
      <w:r w:rsidR="00212A34">
        <w:rPr>
          <w:sz w:val="24"/>
          <w:szCs w:val="24"/>
        </w:rPr>
        <w:t>tumsverhältnissen!“</w:t>
      </w:r>
      <w:r>
        <w:rPr>
          <w:sz w:val="24"/>
          <w:szCs w:val="24"/>
        </w:rPr>
        <w:t xml:space="preserve"> Er verstieß damit gegen die strikte Vorgabe, </w:t>
      </w:r>
      <w:r w:rsidR="006F1DDF">
        <w:rPr>
          <w:sz w:val="24"/>
          <w:szCs w:val="24"/>
        </w:rPr>
        <w:t xml:space="preserve">nur </w:t>
      </w:r>
      <w:r>
        <w:rPr>
          <w:sz w:val="24"/>
          <w:szCs w:val="24"/>
        </w:rPr>
        <w:t>über „Kultur und Hum</w:t>
      </w:r>
      <w:r>
        <w:rPr>
          <w:sz w:val="24"/>
          <w:szCs w:val="24"/>
        </w:rPr>
        <w:t>a</w:t>
      </w:r>
      <w:r>
        <w:rPr>
          <w:sz w:val="24"/>
          <w:szCs w:val="24"/>
        </w:rPr>
        <w:t>nität“ spreche</w:t>
      </w:r>
      <w:r w:rsidR="00212A34">
        <w:rPr>
          <w:sz w:val="24"/>
          <w:szCs w:val="24"/>
        </w:rPr>
        <w:t>n.</w:t>
      </w:r>
      <w:r w:rsidR="001F775F">
        <w:rPr>
          <w:sz w:val="24"/>
          <w:szCs w:val="24"/>
        </w:rPr>
        <w:t xml:space="preserve"> Ein Nachspiel gab es für Gustav Regler. Er </w:t>
      </w:r>
      <w:r w:rsidR="002C1143">
        <w:rPr>
          <w:sz w:val="24"/>
          <w:szCs w:val="24"/>
        </w:rPr>
        <w:t xml:space="preserve">wurde </w:t>
      </w:r>
      <w:r w:rsidR="001F775F">
        <w:rPr>
          <w:sz w:val="24"/>
          <w:szCs w:val="24"/>
        </w:rPr>
        <w:t xml:space="preserve">wegen „unrichtige[r] wie besonders vor diesem Forum </w:t>
      </w:r>
      <w:proofErr w:type="spellStart"/>
      <w:r w:rsidR="001F775F">
        <w:rPr>
          <w:sz w:val="24"/>
          <w:szCs w:val="24"/>
        </w:rPr>
        <w:t>deplazierte</w:t>
      </w:r>
      <w:proofErr w:type="spellEnd"/>
      <w:r w:rsidR="001F775F">
        <w:rPr>
          <w:sz w:val="24"/>
          <w:szCs w:val="24"/>
        </w:rPr>
        <w:t>[r] Kritik an der Partei“ von seiner Parteigruppe krit</w:t>
      </w:r>
      <w:r w:rsidR="001F775F">
        <w:rPr>
          <w:sz w:val="24"/>
          <w:szCs w:val="24"/>
        </w:rPr>
        <w:t>i</w:t>
      </w:r>
      <w:r w:rsidR="001F775F">
        <w:rPr>
          <w:sz w:val="24"/>
          <w:szCs w:val="24"/>
        </w:rPr>
        <w:t>siert.</w:t>
      </w:r>
      <w:r w:rsidR="001F775F">
        <w:rPr>
          <w:rStyle w:val="Funotenzeichen"/>
          <w:sz w:val="24"/>
          <w:szCs w:val="24"/>
        </w:rPr>
        <w:footnoteReference w:id="50"/>
      </w:r>
      <w:r w:rsidR="002C1143">
        <w:rPr>
          <w:sz w:val="24"/>
          <w:szCs w:val="24"/>
        </w:rPr>
        <w:t xml:space="preserve"> </w:t>
      </w:r>
      <w:proofErr w:type="spellStart"/>
      <w:r w:rsidR="002C1143">
        <w:rPr>
          <w:sz w:val="24"/>
          <w:szCs w:val="24"/>
        </w:rPr>
        <w:t>Magdeleine</w:t>
      </w:r>
      <w:proofErr w:type="spellEnd"/>
      <w:r w:rsidR="002C1143">
        <w:rPr>
          <w:sz w:val="24"/>
          <w:szCs w:val="24"/>
        </w:rPr>
        <w:t xml:space="preserve"> Paz nahm es auf sich, die Kongressregie dadurch zu stören, </w:t>
      </w:r>
      <w:r w:rsidR="002402FD">
        <w:rPr>
          <w:sz w:val="24"/>
          <w:szCs w:val="24"/>
        </w:rPr>
        <w:t>dass</w:t>
      </w:r>
      <w:r w:rsidR="002C1143">
        <w:rPr>
          <w:sz w:val="24"/>
          <w:szCs w:val="24"/>
        </w:rPr>
        <w:t xml:space="preserve"> sie zu Solidarität mit dem in der Sowjetunion inhaftierten „Trotzkisten“ Victor Serge aufrief. Ihre Intervention nahm </w:t>
      </w:r>
      <w:r w:rsidR="00E24481">
        <w:rPr>
          <w:sz w:val="24"/>
          <w:szCs w:val="24"/>
        </w:rPr>
        <w:t xml:space="preserve">bereits </w:t>
      </w:r>
      <w:r w:rsidR="002402FD">
        <w:rPr>
          <w:sz w:val="24"/>
          <w:szCs w:val="24"/>
        </w:rPr>
        <w:t>spätere</w:t>
      </w:r>
      <w:r w:rsidR="002C1143">
        <w:rPr>
          <w:sz w:val="24"/>
          <w:szCs w:val="24"/>
        </w:rPr>
        <w:t xml:space="preserve"> Konflikte </w:t>
      </w:r>
      <w:r w:rsidR="00E24481">
        <w:rPr>
          <w:sz w:val="24"/>
          <w:szCs w:val="24"/>
        </w:rPr>
        <w:t>vorweg.</w:t>
      </w:r>
      <w:r>
        <w:rPr>
          <w:sz w:val="24"/>
          <w:szCs w:val="24"/>
        </w:rPr>
        <w:t xml:space="preserve"> Man konnte sich auf dem Kongress mit den Häftlingen in den deutschen Konzentrationslagern solidarisieren, </w:t>
      </w:r>
      <w:r w:rsidR="00E95373">
        <w:rPr>
          <w:sz w:val="24"/>
          <w:szCs w:val="24"/>
        </w:rPr>
        <w:t>aber nicht mit Häftli</w:t>
      </w:r>
      <w:r w:rsidR="00E95373">
        <w:rPr>
          <w:sz w:val="24"/>
          <w:szCs w:val="24"/>
        </w:rPr>
        <w:t>n</w:t>
      </w:r>
      <w:r w:rsidR="00E95373">
        <w:rPr>
          <w:sz w:val="24"/>
          <w:szCs w:val="24"/>
        </w:rPr>
        <w:t>gen des NKWD.</w:t>
      </w:r>
      <w:r w:rsidR="00E24481">
        <w:rPr>
          <w:rStyle w:val="Funotenzeichen"/>
          <w:sz w:val="24"/>
          <w:szCs w:val="24"/>
        </w:rPr>
        <w:footnoteReference w:id="51"/>
      </w:r>
      <w:r w:rsidR="00E24481">
        <w:rPr>
          <w:sz w:val="24"/>
          <w:szCs w:val="24"/>
        </w:rPr>
        <w:t xml:space="preserve"> Auch Henri </w:t>
      </w:r>
      <w:proofErr w:type="spellStart"/>
      <w:r w:rsidR="00E24481">
        <w:rPr>
          <w:sz w:val="24"/>
          <w:szCs w:val="24"/>
        </w:rPr>
        <w:t>Poulaille</w:t>
      </w:r>
      <w:proofErr w:type="spellEnd"/>
      <w:r w:rsidR="00E24481">
        <w:rPr>
          <w:sz w:val="24"/>
          <w:szCs w:val="24"/>
        </w:rPr>
        <w:t xml:space="preserve"> wollte über den Fall Serge sprechen. </w:t>
      </w:r>
      <w:r w:rsidR="002402FD">
        <w:rPr>
          <w:sz w:val="24"/>
          <w:szCs w:val="24"/>
        </w:rPr>
        <w:t>Es</w:t>
      </w:r>
      <w:r w:rsidR="00E24481">
        <w:rPr>
          <w:sz w:val="24"/>
          <w:szCs w:val="24"/>
        </w:rPr>
        <w:t xml:space="preserve"> kam zu handfesten Auseinandersetzungen mit den Saalordnern.</w:t>
      </w:r>
      <w:r w:rsidR="00E24481">
        <w:rPr>
          <w:rStyle w:val="Funotenzeichen"/>
          <w:sz w:val="24"/>
          <w:szCs w:val="24"/>
        </w:rPr>
        <w:footnoteReference w:id="52"/>
      </w:r>
    </w:p>
    <w:p w:rsidR="00212A34" w:rsidRDefault="00212A34" w:rsidP="001D2105">
      <w:pPr>
        <w:spacing w:after="0"/>
        <w:jc w:val="both"/>
        <w:rPr>
          <w:sz w:val="24"/>
          <w:szCs w:val="24"/>
        </w:rPr>
      </w:pPr>
      <w:r>
        <w:rPr>
          <w:sz w:val="24"/>
          <w:szCs w:val="24"/>
        </w:rPr>
        <w:tab/>
        <w:t xml:space="preserve">Zwei Ereignisse verliehen dem Kongress eine besondere, spektakuläre </w:t>
      </w:r>
      <w:r w:rsidR="00AD63BD">
        <w:rPr>
          <w:sz w:val="24"/>
          <w:szCs w:val="24"/>
        </w:rPr>
        <w:t>Note</w:t>
      </w:r>
      <w:r w:rsidR="006B230B">
        <w:rPr>
          <w:sz w:val="24"/>
          <w:szCs w:val="24"/>
        </w:rPr>
        <w:t>.</w:t>
      </w:r>
      <w:r>
        <w:rPr>
          <w:sz w:val="24"/>
          <w:szCs w:val="24"/>
        </w:rPr>
        <w:t xml:space="preserve"> </w:t>
      </w:r>
      <w:r w:rsidR="006B230B">
        <w:rPr>
          <w:sz w:val="24"/>
          <w:szCs w:val="24"/>
        </w:rPr>
        <w:t>A</w:t>
      </w:r>
      <w:r>
        <w:rPr>
          <w:sz w:val="24"/>
          <w:szCs w:val="24"/>
        </w:rPr>
        <w:t>ls Hei</w:t>
      </w:r>
      <w:r>
        <w:rPr>
          <w:sz w:val="24"/>
          <w:szCs w:val="24"/>
        </w:rPr>
        <w:t>n</w:t>
      </w:r>
      <w:r>
        <w:rPr>
          <w:sz w:val="24"/>
          <w:szCs w:val="24"/>
        </w:rPr>
        <w:t xml:space="preserve">rich Mann die Abendsitzung am 22. Juni eröffnete, erhob sich </w:t>
      </w:r>
      <w:r w:rsidR="00E95373">
        <w:rPr>
          <w:sz w:val="24"/>
          <w:szCs w:val="24"/>
        </w:rPr>
        <w:t xml:space="preserve">ihm zu Ehren </w:t>
      </w:r>
      <w:r>
        <w:rPr>
          <w:sz w:val="24"/>
          <w:szCs w:val="24"/>
        </w:rPr>
        <w:t xml:space="preserve">das gesamte, mehrere tausend Menschen zählende Auditorium </w:t>
      </w:r>
      <w:r w:rsidR="006B230B">
        <w:rPr>
          <w:sz w:val="24"/>
          <w:szCs w:val="24"/>
        </w:rPr>
        <w:t xml:space="preserve">im Versammlungssaal der </w:t>
      </w:r>
      <w:proofErr w:type="spellStart"/>
      <w:r w:rsidR="006B230B">
        <w:rPr>
          <w:sz w:val="24"/>
          <w:szCs w:val="24"/>
        </w:rPr>
        <w:t>Mutualité</w:t>
      </w:r>
      <w:proofErr w:type="spellEnd"/>
      <w:r w:rsidR="00AD63BD">
        <w:rPr>
          <w:sz w:val="24"/>
          <w:szCs w:val="24"/>
        </w:rPr>
        <w:t>. D</w:t>
      </w:r>
      <w:r w:rsidR="006B230B">
        <w:rPr>
          <w:sz w:val="24"/>
          <w:szCs w:val="24"/>
        </w:rPr>
        <w:t xml:space="preserve">amit </w:t>
      </w:r>
      <w:proofErr w:type="gramStart"/>
      <w:r w:rsidR="00AD63BD">
        <w:rPr>
          <w:sz w:val="24"/>
          <w:szCs w:val="24"/>
        </w:rPr>
        <w:t>wurde</w:t>
      </w:r>
      <w:proofErr w:type="gramEnd"/>
      <w:r w:rsidR="00AD63BD">
        <w:rPr>
          <w:sz w:val="24"/>
          <w:szCs w:val="24"/>
        </w:rPr>
        <w:t xml:space="preserve"> </w:t>
      </w:r>
      <w:r w:rsidR="006B230B">
        <w:rPr>
          <w:sz w:val="24"/>
          <w:szCs w:val="24"/>
        </w:rPr>
        <w:t>nicht nur de</w:t>
      </w:r>
      <w:r w:rsidR="00AD63BD">
        <w:rPr>
          <w:sz w:val="24"/>
          <w:szCs w:val="24"/>
        </w:rPr>
        <w:t>r</w:t>
      </w:r>
      <w:r w:rsidR="006B230B">
        <w:rPr>
          <w:sz w:val="24"/>
          <w:szCs w:val="24"/>
        </w:rPr>
        <w:t xml:space="preserve"> Autor, sondern das </w:t>
      </w:r>
      <w:r w:rsidR="00E95373">
        <w:rPr>
          <w:sz w:val="24"/>
          <w:szCs w:val="24"/>
        </w:rPr>
        <w:t xml:space="preserve">gesamte </w:t>
      </w:r>
      <w:r w:rsidR="006B230B">
        <w:rPr>
          <w:sz w:val="24"/>
          <w:szCs w:val="24"/>
        </w:rPr>
        <w:t xml:space="preserve">deutsche Schriftstellerexil und sein Kampf gegen den Nationalsozialismus </w:t>
      </w:r>
      <w:r w:rsidR="00AD63BD">
        <w:rPr>
          <w:sz w:val="24"/>
          <w:szCs w:val="24"/>
        </w:rPr>
        <w:t>ge</w:t>
      </w:r>
      <w:r w:rsidR="006B230B">
        <w:rPr>
          <w:sz w:val="24"/>
          <w:szCs w:val="24"/>
        </w:rPr>
        <w:t>ehr</w:t>
      </w:r>
      <w:r w:rsidR="00AD63BD">
        <w:rPr>
          <w:sz w:val="24"/>
          <w:szCs w:val="24"/>
        </w:rPr>
        <w:t>t</w:t>
      </w:r>
      <w:r w:rsidR="006B230B">
        <w:rPr>
          <w:sz w:val="24"/>
          <w:szCs w:val="24"/>
        </w:rPr>
        <w:t xml:space="preserve">. </w:t>
      </w:r>
      <w:r w:rsidR="00AD63BD">
        <w:rPr>
          <w:sz w:val="24"/>
          <w:szCs w:val="24"/>
        </w:rPr>
        <w:t>Diese Ehrung wurde durch ein zweites Ereignis noch verstärkt: Mit</w:t>
      </w:r>
      <w:r w:rsidR="006B230B">
        <w:rPr>
          <w:sz w:val="24"/>
          <w:szCs w:val="24"/>
        </w:rPr>
        <w:t xml:space="preserve"> Jan Petersen, </w:t>
      </w:r>
      <w:r w:rsidR="00AD63BD">
        <w:rPr>
          <w:sz w:val="24"/>
          <w:szCs w:val="24"/>
        </w:rPr>
        <w:t xml:space="preserve">dem „Mann mit der schwarzen Maske“, trat zur Überraschung des Auditoriums ein </w:t>
      </w:r>
      <w:r w:rsidR="006B230B">
        <w:rPr>
          <w:sz w:val="24"/>
          <w:szCs w:val="24"/>
        </w:rPr>
        <w:t>in Deutschland verbliebene</w:t>
      </w:r>
      <w:r w:rsidR="00AD63BD">
        <w:rPr>
          <w:sz w:val="24"/>
          <w:szCs w:val="24"/>
        </w:rPr>
        <w:t>r</w:t>
      </w:r>
      <w:r w:rsidR="006B230B">
        <w:rPr>
          <w:sz w:val="24"/>
          <w:szCs w:val="24"/>
        </w:rPr>
        <w:t xml:space="preserve"> Schriftsteller</w:t>
      </w:r>
      <w:r w:rsidR="00AD63BD">
        <w:rPr>
          <w:sz w:val="24"/>
          <w:szCs w:val="24"/>
        </w:rPr>
        <w:t xml:space="preserve">, </w:t>
      </w:r>
      <w:r w:rsidR="00AD63BD" w:rsidRPr="00AD63BD">
        <w:rPr>
          <w:i/>
          <w:sz w:val="24"/>
          <w:szCs w:val="24"/>
        </w:rPr>
        <w:t xml:space="preserve">ein Mann des </w:t>
      </w:r>
      <w:r w:rsidR="006B230B" w:rsidRPr="00AD63BD">
        <w:rPr>
          <w:i/>
          <w:sz w:val="24"/>
          <w:szCs w:val="24"/>
        </w:rPr>
        <w:t>Widerstands</w:t>
      </w:r>
      <w:r w:rsidR="00AD63BD" w:rsidRPr="00AD63BD">
        <w:rPr>
          <w:i/>
          <w:sz w:val="24"/>
          <w:szCs w:val="24"/>
        </w:rPr>
        <w:t xml:space="preserve"> gegen Hitler</w:t>
      </w:r>
      <w:r w:rsidR="006B230B">
        <w:rPr>
          <w:sz w:val="24"/>
          <w:szCs w:val="24"/>
        </w:rPr>
        <w:t xml:space="preserve">, </w:t>
      </w:r>
      <w:r w:rsidR="00AD63BD">
        <w:rPr>
          <w:sz w:val="24"/>
          <w:szCs w:val="24"/>
        </w:rPr>
        <w:t xml:space="preserve">ein Vertreter der „Illegalen“, </w:t>
      </w:r>
      <w:r w:rsidR="006B230B">
        <w:rPr>
          <w:sz w:val="24"/>
          <w:szCs w:val="24"/>
        </w:rPr>
        <w:t xml:space="preserve">vor den Kongress. </w:t>
      </w:r>
      <w:r w:rsidR="00AD63BD">
        <w:rPr>
          <w:sz w:val="24"/>
          <w:szCs w:val="24"/>
        </w:rPr>
        <w:t>Die Wirkung</w:t>
      </w:r>
      <w:r w:rsidR="00E95373">
        <w:rPr>
          <w:sz w:val="24"/>
          <w:szCs w:val="24"/>
        </w:rPr>
        <w:t xml:space="preserve"> von</w:t>
      </w:r>
      <w:r w:rsidR="00AD63BD">
        <w:rPr>
          <w:sz w:val="24"/>
          <w:szCs w:val="24"/>
        </w:rPr>
        <w:t xml:space="preserve"> </w:t>
      </w:r>
      <w:r w:rsidR="006B230B">
        <w:rPr>
          <w:sz w:val="24"/>
          <w:szCs w:val="24"/>
        </w:rPr>
        <w:t xml:space="preserve">Petersens Auftritt </w:t>
      </w:r>
      <w:r w:rsidR="00AD63BD">
        <w:rPr>
          <w:sz w:val="24"/>
          <w:szCs w:val="24"/>
        </w:rPr>
        <w:t xml:space="preserve">war </w:t>
      </w:r>
      <w:r w:rsidR="00E95373">
        <w:rPr>
          <w:sz w:val="24"/>
          <w:szCs w:val="24"/>
        </w:rPr>
        <w:t>enorm</w:t>
      </w:r>
      <w:r w:rsidR="00AD63BD">
        <w:rPr>
          <w:sz w:val="24"/>
          <w:szCs w:val="24"/>
        </w:rPr>
        <w:t>. Es w</w:t>
      </w:r>
      <w:r w:rsidR="006B230B">
        <w:rPr>
          <w:sz w:val="24"/>
          <w:szCs w:val="24"/>
        </w:rPr>
        <w:t>ar eine theatralische politische Inszenierung.</w:t>
      </w:r>
      <w:r w:rsidR="00AD63BD">
        <w:rPr>
          <w:sz w:val="24"/>
          <w:szCs w:val="24"/>
        </w:rPr>
        <w:t xml:space="preserve"> Die spektakuläre „schwarze Maske“ war aufgrund der Außenwirkung gewählt worden. Schutz zur Rückkehr nach Deutschland hätte sie in keinem Falle geboten.</w:t>
      </w:r>
      <w:r w:rsidR="006B230B">
        <w:rPr>
          <w:rStyle w:val="Funotenzeichen"/>
          <w:sz w:val="24"/>
          <w:szCs w:val="24"/>
        </w:rPr>
        <w:footnoteReference w:id="53"/>
      </w:r>
      <w:r w:rsidR="006B230B">
        <w:rPr>
          <w:sz w:val="24"/>
          <w:szCs w:val="24"/>
        </w:rPr>
        <w:t xml:space="preserve"> </w:t>
      </w:r>
      <w:bookmarkEnd w:id="0"/>
    </w:p>
    <w:sectPr w:rsidR="00212A34"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66" w:rsidRDefault="00D71066" w:rsidP="005E05EB">
      <w:pPr>
        <w:spacing w:after="0" w:line="240" w:lineRule="auto"/>
      </w:pPr>
      <w:r>
        <w:separator/>
      </w:r>
    </w:p>
  </w:endnote>
  <w:endnote w:type="continuationSeparator" w:id="0">
    <w:p w:rsidR="00D71066" w:rsidRDefault="00D71066" w:rsidP="005E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66" w:rsidRDefault="00D71066" w:rsidP="005E05EB">
      <w:pPr>
        <w:spacing w:after="0" w:line="240" w:lineRule="auto"/>
      </w:pPr>
      <w:r>
        <w:separator/>
      </w:r>
    </w:p>
  </w:footnote>
  <w:footnote w:type="continuationSeparator" w:id="0">
    <w:p w:rsidR="00D71066" w:rsidRDefault="00D71066" w:rsidP="005E05EB">
      <w:pPr>
        <w:spacing w:after="0" w:line="240" w:lineRule="auto"/>
      </w:pPr>
      <w:r>
        <w:continuationSeparator/>
      </w:r>
    </w:p>
  </w:footnote>
  <w:footnote w:id="1">
    <w:p w:rsidR="00C075BF" w:rsidRPr="009B3F73" w:rsidRDefault="00C075BF">
      <w:pPr>
        <w:pStyle w:val="Funotentext"/>
      </w:pPr>
      <w:r>
        <w:rPr>
          <w:rStyle w:val="Funotenzeichen"/>
        </w:rPr>
        <w:footnoteRef/>
      </w:r>
      <w:r>
        <w:t xml:space="preserve"> Abgedruckt in: Joseph Roth: </w:t>
      </w:r>
      <w:r>
        <w:rPr>
          <w:i/>
        </w:rPr>
        <w:t>Berliner Saisonbericht.</w:t>
      </w:r>
      <w:r>
        <w:t xml:space="preserve"> Unbekannte Reportagen und journalistische Arbeiten 1920 – 39. Hrsg. von Klaus Westermann. Köln 1984, S. 400 – 404.</w:t>
      </w:r>
    </w:p>
  </w:footnote>
  <w:footnote w:id="2">
    <w:p w:rsidR="00C075BF" w:rsidRDefault="00C075BF" w:rsidP="005C604B">
      <w:pPr>
        <w:pStyle w:val="Funotentext"/>
      </w:pPr>
      <w:r>
        <w:rPr>
          <w:rStyle w:val="Funotenzeichen"/>
        </w:rPr>
        <w:footnoteRef/>
      </w:r>
      <w:r>
        <w:t xml:space="preserve"> Wörtlich schreibt Benjamin in einem Brief vom 4. Juni 1939 an Stephan Lackner: „Ich weiß nicht, ob die T</w:t>
      </w:r>
      <w:r>
        <w:t>o</w:t>
      </w:r>
      <w:r>
        <w:t>desart, die er gewählt hat – die konsequente Vergiftung durch Alkohol – weniger schrecklich ist als die, zu we</w:t>
      </w:r>
      <w:r>
        <w:t>l</w:t>
      </w:r>
      <w:r>
        <w:t>cher sich Toller entschlossen hat.“ – In: Stephan Lackner: „von einer langen, schwierigen Irrfahrt.“ Aus unverö</w:t>
      </w:r>
      <w:r>
        <w:t>f</w:t>
      </w:r>
      <w:r>
        <w:t xml:space="preserve">fentlichten Briefen Walter Benjamins. In: </w:t>
      </w:r>
      <w:r w:rsidRPr="0030298C">
        <w:rPr>
          <w:i/>
        </w:rPr>
        <w:t>Neue Deutsche Hefte</w:t>
      </w:r>
      <w:r>
        <w:t xml:space="preserve"> I/1979, S. 61.</w:t>
      </w:r>
    </w:p>
  </w:footnote>
  <w:footnote w:id="3">
    <w:p w:rsidR="00C075BF" w:rsidRDefault="00C075BF">
      <w:pPr>
        <w:pStyle w:val="Funotentext"/>
      </w:pPr>
      <w:r>
        <w:rPr>
          <w:rStyle w:val="Funotenzeichen"/>
        </w:rPr>
        <w:footnoteRef/>
      </w:r>
      <w:r>
        <w:t xml:space="preserve"> Roth: Die vertriebene deutsche Literatur, a.a.O., S. 401.</w:t>
      </w:r>
    </w:p>
  </w:footnote>
  <w:footnote w:id="4">
    <w:p w:rsidR="00C075BF" w:rsidRDefault="00C075BF" w:rsidP="00A44A3F">
      <w:pPr>
        <w:pStyle w:val="Funotentext"/>
      </w:pPr>
      <w:r>
        <w:rPr>
          <w:rStyle w:val="Funotenzeichen"/>
        </w:rPr>
        <w:footnoteRef/>
      </w:r>
      <w:r>
        <w:t xml:space="preserve"> Roth bezieht sich hier auf Thomas Manns offenen Brief an Eduard </w:t>
      </w:r>
      <w:proofErr w:type="spellStart"/>
      <w:r>
        <w:t>Korrodi</w:t>
      </w:r>
      <w:proofErr w:type="spellEnd"/>
      <w:r>
        <w:t xml:space="preserve"> vom 3. Februar 1936.</w:t>
      </w:r>
    </w:p>
  </w:footnote>
  <w:footnote w:id="5">
    <w:p w:rsidR="00C075BF" w:rsidRPr="00BA6A11" w:rsidRDefault="00C075BF">
      <w:pPr>
        <w:pStyle w:val="Funotentext"/>
      </w:pPr>
      <w:r>
        <w:rPr>
          <w:rStyle w:val="Funotenzeichen"/>
        </w:rPr>
        <w:footnoteRef/>
      </w:r>
      <w:r w:rsidRPr="00BA6A11">
        <w:t xml:space="preserve"> Roth fährt an dieser Ste</w:t>
      </w:r>
      <w:r>
        <w:t xml:space="preserve">lle mit einem deutlichen Hinweis darauf fort, dass die Distanzierung Thomas Manns gegenüber dem Dritten Reich sehr spät erfolgt ist: „Die Tatsache, </w:t>
      </w:r>
      <w:proofErr w:type="spellStart"/>
      <w:r>
        <w:t>daß</w:t>
      </w:r>
      <w:proofErr w:type="spellEnd"/>
      <w:r>
        <w:t xml:space="preserve"> ein edler Mensch den Zug versäumt, rech</w:t>
      </w:r>
      <w:r>
        <w:t>t</w:t>
      </w:r>
      <w:r>
        <w:t xml:space="preserve">fertigt sein Zuspätkommen nicht. Aber das nur nebenbei“ (S. 401). </w:t>
      </w:r>
    </w:p>
  </w:footnote>
  <w:footnote w:id="6">
    <w:p w:rsidR="00C075BF" w:rsidRPr="00BD48BC" w:rsidRDefault="00C075BF" w:rsidP="008C683D">
      <w:pPr>
        <w:pStyle w:val="Funotentext"/>
      </w:pPr>
      <w:r>
        <w:rPr>
          <w:rStyle w:val="Funotenzeichen"/>
        </w:rPr>
        <w:footnoteRef/>
      </w:r>
      <w:r w:rsidRPr="00BD48BC">
        <w:t xml:space="preserve"> S. 401.</w:t>
      </w:r>
    </w:p>
  </w:footnote>
  <w:footnote w:id="7">
    <w:p w:rsidR="00C075BF" w:rsidRPr="00BD48BC" w:rsidRDefault="00C075BF" w:rsidP="00037CB7">
      <w:pPr>
        <w:pStyle w:val="Funotentext"/>
      </w:pPr>
      <w:r>
        <w:rPr>
          <w:rStyle w:val="Funotenzeichen"/>
        </w:rPr>
        <w:footnoteRef/>
      </w:r>
      <w:r w:rsidRPr="00BD48BC">
        <w:t xml:space="preserve"> S. 402.</w:t>
      </w:r>
    </w:p>
  </w:footnote>
  <w:footnote w:id="8">
    <w:p w:rsidR="00C075BF" w:rsidRPr="00BD48BC" w:rsidRDefault="00C075BF" w:rsidP="00037CB7">
      <w:pPr>
        <w:pStyle w:val="Funotentext"/>
      </w:pPr>
      <w:r>
        <w:rPr>
          <w:rStyle w:val="Funotenzeichen"/>
        </w:rPr>
        <w:footnoteRef/>
      </w:r>
      <w:r w:rsidRPr="00BD48BC">
        <w:t xml:space="preserve"> Ebd.</w:t>
      </w:r>
    </w:p>
  </w:footnote>
  <w:footnote w:id="9">
    <w:p w:rsidR="00C075BF" w:rsidRPr="00BD48BC" w:rsidRDefault="00C075BF">
      <w:pPr>
        <w:pStyle w:val="Funotentext"/>
      </w:pPr>
      <w:r>
        <w:rPr>
          <w:rStyle w:val="Funotenzeichen"/>
        </w:rPr>
        <w:footnoteRef/>
      </w:r>
      <w:r w:rsidRPr="00BD48BC">
        <w:t xml:space="preserve"> Ebd.</w:t>
      </w:r>
    </w:p>
  </w:footnote>
  <w:footnote w:id="10">
    <w:p w:rsidR="00C075BF" w:rsidRPr="00BD48BC" w:rsidRDefault="00C075BF">
      <w:pPr>
        <w:pStyle w:val="Funotentext"/>
      </w:pPr>
      <w:r>
        <w:rPr>
          <w:rStyle w:val="Funotenzeichen"/>
        </w:rPr>
        <w:footnoteRef/>
      </w:r>
      <w:r w:rsidRPr="00BD48BC">
        <w:t xml:space="preserve"> S. 403.</w:t>
      </w:r>
    </w:p>
  </w:footnote>
  <w:footnote w:id="11">
    <w:p w:rsidR="00C075BF" w:rsidRPr="00E87E8C" w:rsidRDefault="00C075BF" w:rsidP="00FB2F78">
      <w:pPr>
        <w:pStyle w:val="Funotentext"/>
      </w:pPr>
      <w:r>
        <w:rPr>
          <w:rStyle w:val="Funotenzeichen"/>
        </w:rPr>
        <w:footnoteRef/>
      </w:r>
      <w:r w:rsidRPr="00E87E8C">
        <w:t xml:space="preserve"> Ebd.</w:t>
      </w:r>
    </w:p>
  </w:footnote>
  <w:footnote w:id="12">
    <w:p w:rsidR="00C075BF" w:rsidRDefault="00C075BF">
      <w:pPr>
        <w:pStyle w:val="Funotentext"/>
      </w:pPr>
      <w:r>
        <w:rPr>
          <w:rStyle w:val="Funotenzeichen"/>
        </w:rPr>
        <w:footnoteRef/>
      </w:r>
      <w:r>
        <w:t xml:space="preserve"> S. 403 f.</w:t>
      </w:r>
    </w:p>
  </w:footnote>
  <w:footnote w:id="13">
    <w:p w:rsidR="00C075BF" w:rsidRDefault="00C075BF">
      <w:pPr>
        <w:pStyle w:val="Funotentext"/>
      </w:pPr>
      <w:r>
        <w:rPr>
          <w:rStyle w:val="Funotenzeichen"/>
        </w:rPr>
        <w:footnoteRef/>
      </w:r>
      <w:r>
        <w:t xml:space="preserve"> Ebd. – Hervorhebung – F.T. – Dass hier eine Anspielung auf die Schöpfung vorliegt, ist offensichtlich.</w:t>
      </w:r>
      <w:r w:rsidR="008105ED">
        <w:t xml:space="preserve"> Der Begriff „Phrase“ verweist zudem auf Karl Kraus und dessen Kampf gegen die Phrasenhaftigkeit der Wiener Publizistik.</w:t>
      </w:r>
    </w:p>
  </w:footnote>
  <w:footnote w:id="14">
    <w:p w:rsidR="00C075BF" w:rsidRPr="0034303E" w:rsidRDefault="00C075BF">
      <w:pPr>
        <w:pStyle w:val="Funotentext"/>
      </w:pPr>
      <w:r>
        <w:rPr>
          <w:rStyle w:val="Funotenzeichen"/>
        </w:rPr>
        <w:footnoteRef/>
      </w:r>
      <w:r>
        <w:t xml:space="preserve"> Vgl. Patrik von zur Mühlen: </w:t>
      </w:r>
      <w:r>
        <w:rPr>
          <w:i/>
        </w:rPr>
        <w:t xml:space="preserve">„Schlagt Hitler an der Saar!“ </w:t>
      </w:r>
      <w:r w:rsidRPr="0034303E">
        <w:t>Abstimmung</w:t>
      </w:r>
      <w:r>
        <w:t xml:space="preserve">skampf, Emigration und Widerstand im Saargebiet 1933 – 1945. Bonn 1979; </w:t>
      </w:r>
      <w:r>
        <w:rPr>
          <w:i/>
        </w:rPr>
        <w:t xml:space="preserve">Haltet die Saar, Genossen! </w:t>
      </w:r>
      <w:r>
        <w:t>Antifaschistische Schriftsteller im Absti</w:t>
      </w:r>
      <w:r>
        <w:t>m</w:t>
      </w:r>
      <w:r>
        <w:t>mungskampf 1935. Hrsg. von Ralph Schock. Berlin/Bonn 1984.</w:t>
      </w:r>
    </w:p>
  </w:footnote>
  <w:footnote w:id="15">
    <w:p w:rsidR="00C075BF" w:rsidRDefault="00C075BF" w:rsidP="000A2DE3">
      <w:pPr>
        <w:pStyle w:val="Funotentext"/>
      </w:pPr>
      <w:r>
        <w:rPr>
          <w:rStyle w:val="Funotenzeichen"/>
        </w:rPr>
        <w:footnoteRef/>
      </w:r>
      <w:r>
        <w:t xml:space="preserve"> Der grundlegende Fehler bestand darin, dass die KPD eine solche Parole überhaupt propagiert hatte. Durch die spätere Formel von der „kommunistisch-sozialdemokratischen Einheitsfront“ (Gerhard Paul: </w:t>
      </w:r>
      <w:r>
        <w:rPr>
          <w:i/>
        </w:rPr>
        <w:t>Max Braun.</w:t>
      </w:r>
      <w:r>
        <w:t xml:space="preserve"> Eine politische Biographie. St. Ingbert 1987, S. 83) wurde die negative Wirkung nicht korrigiert, sondern unter diesen Umständen nur bekräftigt.</w:t>
      </w:r>
    </w:p>
  </w:footnote>
  <w:footnote w:id="16">
    <w:p w:rsidR="00C075BF" w:rsidRPr="00FF3114" w:rsidRDefault="00C075BF" w:rsidP="00931388">
      <w:pPr>
        <w:pStyle w:val="Funotentext"/>
      </w:pPr>
      <w:r>
        <w:rPr>
          <w:rStyle w:val="Funotenzeichen"/>
        </w:rPr>
        <w:footnoteRef/>
      </w:r>
      <w:r>
        <w:t xml:space="preserve"> Vgl. Gerhard Paul:</w:t>
      </w:r>
      <w:r w:rsidRPr="000A2DE3">
        <w:rPr>
          <w:i/>
        </w:rPr>
        <w:t xml:space="preserve"> </w:t>
      </w:r>
      <w:r>
        <w:rPr>
          <w:i/>
        </w:rPr>
        <w:t>Braun</w:t>
      </w:r>
      <w:r>
        <w:t>, S. 85.</w:t>
      </w:r>
    </w:p>
  </w:footnote>
  <w:footnote w:id="17">
    <w:p w:rsidR="00C075BF" w:rsidRPr="0052717D" w:rsidRDefault="00C075BF">
      <w:pPr>
        <w:pStyle w:val="Funotentext"/>
      </w:pPr>
      <w:r>
        <w:rPr>
          <w:rStyle w:val="Funotenzeichen"/>
        </w:rPr>
        <w:footnoteRef/>
      </w:r>
      <w:r>
        <w:t xml:space="preserve"> Ich folge hier Ludolf Herbst: </w:t>
      </w:r>
      <w:r>
        <w:rPr>
          <w:i/>
        </w:rPr>
        <w:t>Das nationalsozialistische Deutschland</w:t>
      </w:r>
      <w:r>
        <w:t>, a.a.O., S. 99 ff. („Außenpolitik zur A</w:t>
      </w:r>
      <w:r>
        <w:t>b</w:t>
      </w:r>
      <w:r>
        <w:t>schirmung der Aufrüstung“).</w:t>
      </w:r>
    </w:p>
  </w:footnote>
  <w:footnote w:id="18">
    <w:p w:rsidR="00C075BF" w:rsidRDefault="00C075BF">
      <w:pPr>
        <w:pStyle w:val="Funotentext"/>
      </w:pPr>
      <w:r>
        <w:rPr>
          <w:rStyle w:val="Funotenzeichen"/>
        </w:rPr>
        <w:footnoteRef/>
      </w:r>
      <w:r>
        <w:t xml:space="preserve"> Ebd., S. 103 f.</w:t>
      </w:r>
    </w:p>
  </w:footnote>
  <w:footnote w:id="19">
    <w:p w:rsidR="00C075BF" w:rsidRDefault="00C075BF">
      <w:pPr>
        <w:pStyle w:val="Funotentext"/>
      </w:pPr>
      <w:r>
        <w:rPr>
          <w:rStyle w:val="Funotenzeichen"/>
        </w:rPr>
        <w:footnoteRef/>
      </w:r>
      <w:r>
        <w:t xml:space="preserve"> S. 108.</w:t>
      </w:r>
    </w:p>
  </w:footnote>
  <w:footnote w:id="20">
    <w:p w:rsidR="00C075BF" w:rsidRDefault="00C075BF">
      <w:pPr>
        <w:pStyle w:val="Funotentext"/>
      </w:pPr>
      <w:r>
        <w:rPr>
          <w:rStyle w:val="Funotenzeichen"/>
        </w:rPr>
        <w:footnoteRef/>
      </w:r>
      <w:r>
        <w:t xml:space="preserve"> Zitat bei Ludolf Herbst, a.a.O., S. 139.</w:t>
      </w:r>
    </w:p>
  </w:footnote>
  <w:footnote w:id="21">
    <w:p w:rsidR="00C075BF" w:rsidRDefault="00C075BF">
      <w:pPr>
        <w:pStyle w:val="Funotentext"/>
      </w:pPr>
      <w:r>
        <w:rPr>
          <w:rStyle w:val="Funotenzeichen"/>
        </w:rPr>
        <w:footnoteRef/>
      </w:r>
      <w:r>
        <w:t xml:space="preserve"> S. 143.</w:t>
      </w:r>
    </w:p>
  </w:footnote>
  <w:footnote w:id="22">
    <w:p w:rsidR="00C075BF" w:rsidRDefault="00C075BF">
      <w:pPr>
        <w:pStyle w:val="Funotentext"/>
      </w:pPr>
      <w:r>
        <w:rPr>
          <w:rStyle w:val="Funotenzeichen"/>
        </w:rPr>
        <w:footnoteRef/>
      </w:r>
      <w:r>
        <w:t xml:space="preserve"> S. 147.</w:t>
      </w:r>
    </w:p>
  </w:footnote>
  <w:footnote w:id="23">
    <w:p w:rsidR="00C075BF" w:rsidRPr="00B356B0" w:rsidRDefault="00C075BF">
      <w:pPr>
        <w:pStyle w:val="Funotentext"/>
      </w:pPr>
      <w:r>
        <w:rPr>
          <w:rStyle w:val="Funotenzeichen"/>
        </w:rPr>
        <w:footnoteRef/>
      </w:r>
      <w:r>
        <w:t xml:space="preserve"> Leopold Schwarzschild: </w:t>
      </w:r>
      <w:r w:rsidRPr="00B356B0">
        <w:rPr>
          <w:i/>
        </w:rPr>
        <w:t>Das Ende der Illusionen</w:t>
      </w:r>
      <w:r>
        <w:t xml:space="preserve">. Amsterdam: </w:t>
      </w:r>
      <w:proofErr w:type="spellStart"/>
      <w:r>
        <w:t>Querido</w:t>
      </w:r>
      <w:proofErr w:type="spellEnd"/>
      <w:r>
        <w:t xml:space="preserve"> Verlag 1934, S. 256 – 262, hier zitiert nach </w:t>
      </w:r>
      <w:proofErr w:type="spellStart"/>
      <w:proofErr w:type="gramStart"/>
      <w:r>
        <w:t>ders</w:t>
      </w:r>
      <w:proofErr w:type="spellEnd"/>
      <w:r>
        <w:t>.:</w:t>
      </w:r>
      <w:proofErr w:type="gramEnd"/>
      <w:r>
        <w:t xml:space="preserve"> </w:t>
      </w:r>
      <w:r>
        <w:rPr>
          <w:i/>
        </w:rPr>
        <w:t>Von Krieg zu Krieg.</w:t>
      </w:r>
      <w:r>
        <w:t xml:space="preserve"> Amsterdam: </w:t>
      </w:r>
      <w:proofErr w:type="spellStart"/>
      <w:r>
        <w:t>Querido</w:t>
      </w:r>
      <w:proofErr w:type="spellEnd"/>
      <w:r>
        <w:t xml:space="preserve"> Verlag 1947, S. 385 f.</w:t>
      </w:r>
    </w:p>
  </w:footnote>
  <w:footnote w:id="24">
    <w:p w:rsidR="00C075BF" w:rsidRPr="0047122D" w:rsidRDefault="00C075BF" w:rsidP="00141B20">
      <w:pPr>
        <w:pStyle w:val="Funotentext"/>
      </w:pPr>
      <w:r>
        <w:rPr>
          <w:rStyle w:val="Funotenzeichen"/>
        </w:rPr>
        <w:footnoteRef/>
      </w:r>
      <w:r>
        <w:t xml:space="preserve"> [Albert Schreiner:] </w:t>
      </w:r>
      <w:r>
        <w:rPr>
          <w:i/>
        </w:rPr>
        <w:t xml:space="preserve">HITLER treibt zum Krieg. </w:t>
      </w:r>
      <w:r>
        <w:t xml:space="preserve">Dokumentarische Enthüllungen über Hitlers Geheimrüstungen. Hrsg. von Dorothy </w:t>
      </w:r>
      <w:proofErr w:type="spellStart"/>
      <w:r>
        <w:t>Woodman</w:t>
      </w:r>
      <w:proofErr w:type="spellEnd"/>
      <w:r>
        <w:t xml:space="preserve">, Sekretärin der englischen Union für demokratische Kontrolle. Paris: </w:t>
      </w:r>
      <w:proofErr w:type="spellStart"/>
      <w:r>
        <w:t>Éditions</w:t>
      </w:r>
      <w:proofErr w:type="spellEnd"/>
      <w:r>
        <w:t xml:space="preserve"> du Carrefour 1934.</w:t>
      </w:r>
    </w:p>
  </w:footnote>
  <w:footnote w:id="25">
    <w:p w:rsidR="00C075BF" w:rsidRPr="000118B1" w:rsidRDefault="00C075BF" w:rsidP="003C6AFC">
      <w:pPr>
        <w:pStyle w:val="Funotentext"/>
      </w:pPr>
      <w:r>
        <w:rPr>
          <w:rStyle w:val="Funotenzeichen"/>
        </w:rPr>
        <w:footnoteRef/>
      </w:r>
      <w:r>
        <w:t xml:space="preserve"> Vgl. Ernst Nolte: </w:t>
      </w:r>
      <w:r>
        <w:rPr>
          <w:i/>
        </w:rPr>
        <w:t>Der Faschismus in seiner Epoche.</w:t>
      </w:r>
      <w:r>
        <w:t xml:space="preserve"> Die Action </w:t>
      </w:r>
      <w:proofErr w:type="spellStart"/>
      <w:r>
        <w:t>fran</w:t>
      </w:r>
      <w:r>
        <w:rPr>
          <w:rFonts w:cs="Times New Roman"/>
        </w:rPr>
        <w:t>ç</w:t>
      </w:r>
      <w:r>
        <w:t>aise</w:t>
      </w:r>
      <w:proofErr w:type="spellEnd"/>
      <w:r>
        <w:t>. Der italienische Faschismus. Der Nationalsozialismus. München 1963.</w:t>
      </w:r>
    </w:p>
  </w:footnote>
  <w:footnote w:id="26">
    <w:p w:rsidR="003D25C7" w:rsidRPr="003D25C7" w:rsidRDefault="003D25C7" w:rsidP="009F09F5">
      <w:pPr>
        <w:spacing w:after="0" w:line="240" w:lineRule="auto"/>
      </w:pPr>
      <w:r>
        <w:rPr>
          <w:rStyle w:val="Funotenzeichen"/>
        </w:rPr>
        <w:footnoteRef/>
      </w:r>
      <w:r>
        <w:t xml:space="preserve"> Zum Fall von Victor Serge vgl. Heinz </w:t>
      </w:r>
      <w:proofErr w:type="spellStart"/>
      <w:r>
        <w:t>Abosch</w:t>
      </w:r>
      <w:proofErr w:type="spellEnd"/>
      <w:r>
        <w:t xml:space="preserve">: Von der Volksfront zu den Moskauer Prozessen. – In: </w:t>
      </w:r>
      <w:r>
        <w:rPr>
          <w:i/>
        </w:rPr>
        <w:t>Exilfo</w:t>
      </w:r>
      <w:r>
        <w:rPr>
          <w:i/>
        </w:rPr>
        <w:t>r</w:t>
      </w:r>
      <w:r>
        <w:rPr>
          <w:i/>
        </w:rPr>
        <w:t>schung</w:t>
      </w:r>
      <w:r>
        <w:t xml:space="preserve"> 1 (1983), S. 27 – 44, hier S. 34 ff.</w:t>
      </w:r>
    </w:p>
  </w:footnote>
  <w:footnote w:id="27">
    <w:p w:rsidR="009F09F5" w:rsidRDefault="009F09F5" w:rsidP="009F09F5">
      <w:pPr>
        <w:spacing w:after="0" w:line="240" w:lineRule="auto"/>
      </w:pPr>
      <w:r>
        <w:rPr>
          <w:rStyle w:val="Funotenzeichen"/>
        </w:rPr>
        <w:footnoteRef/>
      </w:r>
      <w:r>
        <w:t xml:space="preserve"> Babette Gross berichtet in ihrer Münzenberg-Biografie(a.a.O., S. 437) über einen spektakulären Zwischenfall: </w:t>
      </w:r>
      <w:r w:rsidRPr="009033BF">
        <w:t xml:space="preserve">„In diesen Tagen </w:t>
      </w:r>
      <w:r>
        <w:t xml:space="preserve">[beim Kongress des </w:t>
      </w:r>
      <w:proofErr w:type="spellStart"/>
      <w:r>
        <w:t>Rassemblement</w:t>
      </w:r>
      <w:proofErr w:type="spellEnd"/>
      <w:r>
        <w:t xml:space="preserve"> </w:t>
      </w:r>
      <w:proofErr w:type="spellStart"/>
      <w:r>
        <w:t>Universel</w:t>
      </w:r>
      <w:proofErr w:type="spellEnd"/>
      <w:r>
        <w:t xml:space="preserve"> de la </w:t>
      </w:r>
      <w:proofErr w:type="spellStart"/>
      <w:r>
        <w:t>Paix</w:t>
      </w:r>
      <w:proofErr w:type="spellEnd"/>
      <w:r>
        <w:t xml:space="preserve"> am 7./8. September 1936 in Brüssel] </w:t>
      </w:r>
      <w:r w:rsidRPr="009033BF">
        <w:t xml:space="preserve">trat Münzenberg auf der Straße in Brüssel der frühere holländische Kommunist und Mitbegründer der Komintern </w:t>
      </w:r>
      <w:proofErr w:type="spellStart"/>
      <w:r w:rsidRPr="009033BF">
        <w:t>Sneevliet</w:t>
      </w:r>
      <w:proofErr w:type="spellEnd"/>
      <w:r w:rsidRPr="009033BF">
        <w:t xml:space="preserve"> entgegen, verstellte ihm den Weg und schrie: ‚</w:t>
      </w:r>
      <w:proofErr w:type="spellStart"/>
      <w:r w:rsidRPr="009033BF">
        <w:t>Kain</w:t>
      </w:r>
      <w:proofErr w:type="spellEnd"/>
      <w:r w:rsidRPr="009033BF">
        <w:t>, wo ist dein Bruder Abel-</w:t>
      </w:r>
      <w:proofErr w:type="spellStart"/>
      <w:r w:rsidRPr="009033BF">
        <w:t>Sinowjew</w:t>
      </w:r>
      <w:proofErr w:type="spellEnd"/>
      <w:r w:rsidRPr="009033BF">
        <w:t>?‘“</w:t>
      </w:r>
      <w:r>
        <w:rPr>
          <w:sz w:val="24"/>
          <w:szCs w:val="24"/>
        </w:rPr>
        <w:t xml:space="preserve"> </w:t>
      </w:r>
    </w:p>
  </w:footnote>
  <w:footnote w:id="28">
    <w:p w:rsidR="00C075BF" w:rsidRPr="005B3B9C" w:rsidRDefault="00C075BF">
      <w:pPr>
        <w:pStyle w:val="Funotentext"/>
      </w:pPr>
      <w:r>
        <w:rPr>
          <w:rStyle w:val="Funotenzeichen"/>
        </w:rPr>
        <w:footnoteRef/>
      </w:r>
      <w:r>
        <w:t xml:space="preserve"> Zu den Reden, Grußadressen usw. vgl. </w:t>
      </w:r>
      <w:r>
        <w:rPr>
          <w:i/>
        </w:rPr>
        <w:t xml:space="preserve">Sozialistische </w:t>
      </w:r>
      <w:proofErr w:type="spellStart"/>
      <w:r>
        <w:rPr>
          <w:i/>
        </w:rPr>
        <w:t>Realismuskonzeptionen</w:t>
      </w:r>
      <w:proofErr w:type="spellEnd"/>
      <w:r>
        <w:rPr>
          <w:i/>
        </w:rPr>
        <w:t xml:space="preserve">. </w:t>
      </w:r>
      <w:r w:rsidRPr="005B3B9C">
        <w:t>Do</w:t>
      </w:r>
      <w:r>
        <w:t xml:space="preserve">kumente zum 1. </w:t>
      </w:r>
      <w:proofErr w:type="spellStart"/>
      <w:r>
        <w:t>Allunion</w:t>
      </w:r>
      <w:r>
        <w:t>s</w:t>
      </w:r>
      <w:r>
        <w:t>kongreß</w:t>
      </w:r>
      <w:proofErr w:type="spellEnd"/>
      <w:r>
        <w:t xml:space="preserve"> der Sowjetschriftsteller. Hrsg. von Hans-Jürgen Schmitt u. Godehard Schramm. Frankfurt a.M. 1974. Zur organisationspolitischen und literaturtheoretischen Bedeutung des Kongresses vgl. Hans Günther: </w:t>
      </w:r>
      <w:r w:rsidRPr="00A3728C">
        <w:rPr>
          <w:i/>
        </w:rPr>
        <w:t>Die Ve</w:t>
      </w:r>
      <w:r w:rsidRPr="00A3728C">
        <w:rPr>
          <w:i/>
        </w:rPr>
        <w:t>r</w:t>
      </w:r>
      <w:r w:rsidRPr="00A3728C">
        <w:rPr>
          <w:i/>
        </w:rPr>
        <w:t>staatlichung der Literatur</w:t>
      </w:r>
      <w:r>
        <w:t>. Entstehung und Funktionsweise des sozialistisch-realistischen Kanons in der sowjet</w:t>
      </w:r>
      <w:r>
        <w:t>i</w:t>
      </w:r>
      <w:r>
        <w:t>schen Literatur. Stuttgart 1984.</w:t>
      </w:r>
    </w:p>
  </w:footnote>
  <w:footnote w:id="29">
    <w:p w:rsidR="00C075BF" w:rsidRDefault="00C075BF">
      <w:pPr>
        <w:pStyle w:val="Funotentext"/>
      </w:pPr>
      <w:r>
        <w:rPr>
          <w:rStyle w:val="Funotenzeichen"/>
        </w:rPr>
        <w:footnoteRef/>
      </w:r>
      <w:r>
        <w:t xml:space="preserve"> Bei keineswegs allen KPD-Mitgliedern wurde die Mitgliedschaft bekannt gegeben. Parteimitglieder als „pa</w:t>
      </w:r>
      <w:r>
        <w:t>r</w:t>
      </w:r>
      <w:r>
        <w:t>teilos“ auszugeben, war mitunter strategisch durchaus nützlich.</w:t>
      </w:r>
    </w:p>
  </w:footnote>
  <w:footnote w:id="30">
    <w:p w:rsidR="00C075BF" w:rsidRPr="00697A32" w:rsidRDefault="00C075BF">
      <w:pPr>
        <w:pStyle w:val="Funotentext"/>
      </w:pPr>
      <w:r>
        <w:rPr>
          <w:rStyle w:val="Funotenzeichen"/>
        </w:rPr>
        <w:footnoteRef/>
      </w:r>
      <w:r>
        <w:t xml:space="preserve"> Heinrich Mann: </w:t>
      </w:r>
      <w:r>
        <w:rPr>
          <w:i/>
        </w:rPr>
        <w:t>Essays und Publizistik.</w:t>
      </w:r>
      <w:r>
        <w:t xml:space="preserve"> Kritische Gesamtausgabe, Bd. 6, S. 369 f.</w:t>
      </w:r>
    </w:p>
  </w:footnote>
  <w:footnote w:id="31">
    <w:p w:rsidR="00C075BF" w:rsidRPr="005B753C" w:rsidRDefault="00C075BF">
      <w:pPr>
        <w:pStyle w:val="Funotentext"/>
      </w:pPr>
      <w:r>
        <w:rPr>
          <w:rStyle w:val="Funotenzeichen"/>
        </w:rPr>
        <w:footnoteRef/>
      </w:r>
      <w:r>
        <w:t xml:space="preserve"> Johannes R. Becher: Das große Bündnis. – In: </w:t>
      </w:r>
      <w:r>
        <w:rPr>
          <w:i/>
        </w:rPr>
        <w:t xml:space="preserve">Zur Tradition der sozialistischen Literatur in Deutschland. </w:t>
      </w:r>
      <w:r w:rsidRPr="005B753C">
        <w:t>2., durchgesehene u. erweiterte Aufl. 1967.</w:t>
      </w:r>
      <w:r>
        <w:t xml:space="preserve"> Berlin/Weimar 1967, S. 607, 603 f.</w:t>
      </w:r>
    </w:p>
  </w:footnote>
  <w:footnote w:id="32">
    <w:p w:rsidR="00C075BF" w:rsidRPr="00D469C5" w:rsidRDefault="00C075BF" w:rsidP="007C1DD3">
      <w:pPr>
        <w:pStyle w:val="Funotentext"/>
      </w:pPr>
      <w:r>
        <w:rPr>
          <w:rStyle w:val="Funotenzeichen"/>
        </w:rPr>
        <w:footnoteRef/>
      </w:r>
      <w:r>
        <w:t xml:space="preserve"> Michael Rohrwasser hat das Verhalten der Schriftsteller in einem Aufsatz subtil analysiert. Vgl. M.R. „Die Deutschen in Verzückung“. Der Moskauer </w:t>
      </w:r>
      <w:proofErr w:type="spellStart"/>
      <w:r>
        <w:t>Schriftstellerkongreß</w:t>
      </w:r>
      <w:proofErr w:type="spellEnd"/>
      <w:r>
        <w:t xml:space="preserve"> 1934 und seine deutschen Gäste. – In: </w:t>
      </w:r>
      <w:r>
        <w:rPr>
          <w:i/>
        </w:rPr>
        <w:t>Exil</w:t>
      </w:r>
      <w:r>
        <w:t xml:space="preserve"> 10 (1990), H. 2, S. 45 – 58. </w:t>
      </w:r>
    </w:p>
  </w:footnote>
  <w:footnote w:id="33">
    <w:p w:rsidR="00C075BF" w:rsidRPr="00D16C5F" w:rsidRDefault="00C075BF">
      <w:pPr>
        <w:pStyle w:val="Funotentext"/>
      </w:pPr>
      <w:r>
        <w:rPr>
          <w:rStyle w:val="Funotenzeichen"/>
        </w:rPr>
        <w:footnoteRef/>
      </w:r>
      <w:r>
        <w:t xml:space="preserve"> Oskar Maria Graf: </w:t>
      </w:r>
      <w:r>
        <w:rPr>
          <w:i/>
        </w:rPr>
        <w:t>Reise in die Sowjetunion 1934.</w:t>
      </w:r>
      <w:r>
        <w:t xml:space="preserve"> Hrsg. von Hans-Albert Walter. Neuwied 1974.</w:t>
      </w:r>
    </w:p>
  </w:footnote>
  <w:footnote w:id="34">
    <w:p w:rsidR="00C075BF" w:rsidRPr="00B26467" w:rsidRDefault="00C075BF">
      <w:pPr>
        <w:pStyle w:val="Funotentext"/>
      </w:pPr>
      <w:r>
        <w:rPr>
          <w:rStyle w:val="Funotenzeichen"/>
        </w:rPr>
        <w:footnoteRef/>
      </w:r>
      <w:r w:rsidRPr="00B26467">
        <w:t xml:space="preserve"> Oskar Maria Graf: </w:t>
      </w:r>
      <w:r w:rsidRPr="00B26467">
        <w:rPr>
          <w:i/>
        </w:rPr>
        <w:t>Reise</w:t>
      </w:r>
      <w:r w:rsidRPr="00B26467">
        <w:t>, a.a.O., S. 26 f.</w:t>
      </w:r>
    </w:p>
  </w:footnote>
  <w:footnote w:id="35">
    <w:p w:rsidR="00C075BF" w:rsidRDefault="00C075BF">
      <w:pPr>
        <w:pStyle w:val="Funotentext"/>
      </w:pPr>
      <w:r>
        <w:rPr>
          <w:rStyle w:val="Funotenzeichen"/>
        </w:rPr>
        <w:footnoteRef/>
      </w:r>
      <w:r>
        <w:t xml:space="preserve"> Ebd., S. 42.</w:t>
      </w:r>
    </w:p>
  </w:footnote>
  <w:footnote w:id="36">
    <w:p w:rsidR="00C075BF" w:rsidRPr="008D1703" w:rsidRDefault="00C075BF">
      <w:pPr>
        <w:pStyle w:val="Funotentext"/>
      </w:pPr>
      <w:r>
        <w:rPr>
          <w:rStyle w:val="Funotenzeichen"/>
        </w:rPr>
        <w:footnoteRef/>
      </w:r>
      <w:r>
        <w:t xml:space="preserve"> Albert Ehrenstein: </w:t>
      </w:r>
      <w:r>
        <w:rPr>
          <w:i/>
        </w:rPr>
        <w:t>Werke.</w:t>
      </w:r>
      <w:r>
        <w:t xml:space="preserve"> Hrsg. von Hanni Mittelmann. Bd. 1: </w:t>
      </w:r>
      <w:r>
        <w:rPr>
          <w:i/>
        </w:rPr>
        <w:t>Briefe.</w:t>
      </w:r>
      <w:r>
        <w:t xml:space="preserve"> München 1989, S. 279.</w:t>
      </w:r>
    </w:p>
  </w:footnote>
  <w:footnote w:id="37">
    <w:p w:rsidR="00C075BF" w:rsidRPr="00591429" w:rsidRDefault="00C075BF">
      <w:pPr>
        <w:pStyle w:val="Funotentext"/>
      </w:pPr>
      <w:r>
        <w:rPr>
          <w:rStyle w:val="Funotenzeichen"/>
        </w:rPr>
        <w:footnoteRef/>
      </w:r>
      <w:r>
        <w:t xml:space="preserve"> Klaus Mann: </w:t>
      </w:r>
      <w:r>
        <w:rPr>
          <w:i/>
        </w:rPr>
        <w:t>Tagebücher 1934 – 1935.</w:t>
      </w:r>
      <w:r>
        <w:t xml:space="preserve"> Hrsg. von Joachim Heimannsberg, Peter Laemmle u. Wilfried F. Schoeller. München 1989, S. 51.</w:t>
      </w:r>
    </w:p>
  </w:footnote>
  <w:footnote w:id="38">
    <w:p w:rsidR="00C075BF" w:rsidRDefault="00C075BF">
      <w:pPr>
        <w:pStyle w:val="Funotentext"/>
      </w:pPr>
      <w:r>
        <w:rPr>
          <w:rStyle w:val="Funotenzeichen"/>
        </w:rPr>
        <w:footnoteRef/>
      </w:r>
      <w:r>
        <w:t xml:space="preserve"> Ebd., S. 53.</w:t>
      </w:r>
    </w:p>
  </w:footnote>
  <w:footnote w:id="39">
    <w:p w:rsidR="00C075BF" w:rsidRDefault="00C075BF">
      <w:pPr>
        <w:pStyle w:val="Funotentext"/>
      </w:pPr>
      <w:r>
        <w:rPr>
          <w:rStyle w:val="Funotenzeichen"/>
        </w:rPr>
        <w:footnoteRef/>
      </w:r>
      <w:r>
        <w:t xml:space="preserve"> S. 55 f.</w:t>
      </w:r>
    </w:p>
  </w:footnote>
  <w:footnote w:id="40">
    <w:p w:rsidR="00C075BF" w:rsidRPr="008D1703" w:rsidRDefault="00C075BF" w:rsidP="002F7638">
      <w:pPr>
        <w:pStyle w:val="Funotentext"/>
      </w:pPr>
      <w:r>
        <w:rPr>
          <w:rStyle w:val="Funotenzeichen"/>
        </w:rPr>
        <w:footnoteRef/>
      </w:r>
      <w:r>
        <w:t xml:space="preserve"> Michael Rohrwasser: </w:t>
      </w:r>
      <w:r>
        <w:rPr>
          <w:i/>
        </w:rPr>
        <w:t xml:space="preserve">„Die Deutschen …“, </w:t>
      </w:r>
      <w:r w:rsidRPr="008D1703">
        <w:t xml:space="preserve">S. </w:t>
      </w:r>
      <w:r>
        <w:t>49.</w:t>
      </w:r>
    </w:p>
  </w:footnote>
  <w:footnote w:id="41">
    <w:p w:rsidR="00C075BF" w:rsidRPr="001F775F" w:rsidRDefault="00C075BF" w:rsidP="001F775F">
      <w:pPr>
        <w:spacing w:after="0" w:line="240" w:lineRule="auto"/>
      </w:pPr>
      <w:r>
        <w:rPr>
          <w:rStyle w:val="Funotenzeichen"/>
        </w:rPr>
        <w:footnoteRef/>
      </w:r>
      <w:r>
        <w:t xml:space="preserve"> </w:t>
      </w:r>
      <w:r>
        <w:rPr>
          <w:i/>
        </w:rPr>
        <w:t>Paris 1935.</w:t>
      </w:r>
      <w:r>
        <w:t xml:space="preserve"> Erster Internationaler </w:t>
      </w:r>
      <w:proofErr w:type="spellStart"/>
      <w:r>
        <w:t>Schriftstellerkongreß</w:t>
      </w:r>
      <w:proofErr w:type="spellEnd"/>
      <w:r>
        <w:t xml:space="preserve"> zur Verteidigung der Kultur. Reden und Dokumente. Mit Materialien der Londoner Schriftstellerkonferenz 1936. Hrsg. von Wolfgang Klein. Berlin 1982. – Zur Vo</w:t>
      </w:r>
      <w:r>
        <w:t>r</w:t>
      </w:r>
      <w:r>
        <w:t xml:space="preserve">geschichte des Kongresses vgl. </w:t>
      </w:r>
      <w:proofErr w:type="gramStart"/>
      <w:r>
        <w:t>den</w:t>
      </w:r>
      <w:proofErr w:type="gramEnd"/>
      <w:r>
        <w:t xml:space="preserve"> von Wolfgang Klein verfassten Artikel „Internationale Schriftstellerverein</w:t>
      </w:r>
      <w:r>
        <w:t>i</w:t>
      </w:r>
      <w:r>
        <w:t xml:space="preserve">gung zur Verteidigung der Kultur (ISVK)“ im </w:t>
      </w:r>
      <w:r>
        <w:rPr>
          <w:i/>
        </w:rPr>
        <w:t>Lexikon sozialistischer Literatur.</w:t>
      </w:r>
      <w:r>
        <w:t xml:space="preserve"> Ihre Geschichte in Deutschland bis 1945. Hrsg. von Simone </w:t>
      </w:r>
      <w:proofErr w:type="spellStart"/>
      <w:r>
        <w:t>Barck</w:t>
      </w:r>
      <w:proofErr w:type="spellEnd"/>
      <w:r>
        <w:t xml:space="preserve">, Silvia </w:t>
      </w:r>
      <w:proofErr w:type="spellStart"/>
      <w:r>
        <w:t>Schlenstedt</w:t>
      </w:r>
      <w:proofErr w:type="spellEnd"/>
      <w:r>
        <w:t xml:space="preserve">, Tanja Bürgel, Volker </w:t>
      </w:r>
      <w:proofErr w:type="spellStart"/>
      <w:r>
        <w:t>Giel</w:t>
      </w:r>
      <w:proofErr w:type="spellEnd"/>
      <w:r>
        <w:t xml:space="preserve"> u. Dieter Schiller. Stut</w:t>
      </w:r>
      <w:r>
        <w:t>t</w:t>
      </w:r>
      <w:r>
        <w:t>gart/Weimar 1994, S. 220 – 223.</w:t>
      </w:r>
    </w:p>
  </w:footnote>
  <w:footnote w:id="42">
    <w:p w:rsidR="00C075BF" w:rsidRPr="004744B1" w:rsidRDefault="00C075BF">
      <w:pPr>
        <w:pStyle w:val="Funotentext"/>
      </w:pPr>
      <w:r>
        <w:rPr>
          <w:rStyle w:val="Funotenzeichen"/>
        </w:rPr>
        <w:footnoteRef/>
      </w:r>
      <w:r>
        <w:t xml:space="preserve"> Horst </w:t>
      </w:r>
      <w:proofErr w:type="spellStart"/>
      <w:r>
        <w:t>Duhnke</w:t>
      </w:r>
      <w:proofErr w:type="spellEnd"/>
      <w:r>
        <w:t xml:space="preserve">: </w:t>
      </w:r>
      <w:r>
        <w:rPr>
          <w:i/>
        </w:rPr>
        <w:t>Die KPD,</w:t>
      </w:r>
      <w:r>
        <w:t xml:space="preserve"> a.a.O., S. 149 ff.</w:t>
      </w:r>
    </w:p>
  </w:footnote>
  <w:footnote w:id="43">
    <w:p w:rsidR="00C075BF" w:rsidRPr="002A3311" w:rsidRDefault="00C075BF">
      <w:pPr>
        <w:pStyle w:val="Funotentext"/>
      </w:pPr>
      <w:r>
        <w:rPr>
          <w:rStyle w:val="Funotenzeichen"/>
        </w:rPr>
        <w:footnoteRef/>
      </w:r>
      <w:r w:rsidRPr="002A3311">
        <w:t xml:space="preserve"> </w:t>
      </w:r>
      <w:r>
        <w:t>Ebd.</w:t>
      </w:r>
      <w:r w:rsidRPr="002A3311">
        <w:rPr>
          <w:i/>
        </w:rPr>
        <w:t>,</w:t>
      </w:r>
      <w:r w:rsidRPr="002A3311">
        <w:t xml:space="preserve"> S. 163 f.</w:t>
      </w:r>
    </w:p>
  </w:footnote>
  <w:footnote w:id="44">
    <w:p w:rsidR="00C075BF" w:rsidRPr="002A3311" w:rsidRDefault="00C075BF">
      <w:pPr>
        <w:pStyle w:val="Funotentext"/>
      </w:pPr>
      <w:r>
        <w:rPr>
          <w:rStyle w:val="Funotenzeichen"/>
        </w:rPr>
        <w:footnoteRef/>
      </w:r>
      <w:r w:rsidRPr="002A3311">
        <w:t xml:space="preserve"> S. 166 ff.</w:t>
      </w:r>
    </w:p>
  </w:footnote>
  <w:footnote w:id="45">
    <w:p w:rsidR="00C075BF" w:rsidRPr="007F797B" w:rsidRDefault="00C075BF">
      <w:pPr>
        <w:pStyle w:val="Funotentext"/>
        <w:rPr>
          <w:lang w:val="en-US"/>
        </w:rPr>
      </w:pPr>
      <w:r>
        <w:rPr>
          <w:rStyle w:val="Funotenzeichen"/>
        </w:rPr>
        <w:footnoteRef/>
      </w:r>
      <w:r>
        <w:t xml:space="preserve"> Wolfgang Klein: Einleitung. </w:t>
      </w:r>
      <w:r w:rsidRPr="007F797B">
        <w:rPr>
          <w:lang w:val="en-US"/>
        </w:rPr>
        <w:t xml:space="preserve">In: </w:t>
      </w:r>
      <w:r w:rsidRPr="007F797B">
        <w:rPr>
          <w:i/>
          <w:lang w:val="en-US"/>
        </w:rPr>
        <w:t>Paris 1935</w:t>
      </w:r>
      <w:r w:rsidRPr="007F797B">
        <w:rPr>
          <w:lang w:val="en-US"/>
        </w:rPr>
        <w:t>, S. 9.</w:t>
      </w:r>
    </w:p>
  </w:footnote>
  <w:footnote w:id="46">
    <w:p w:rsidR="00C075BF" w:rsidRPr="007F797B" w:rsidRDefault="00C075BF" w:rsidP="00DD4086">
      <w:pPr>
        <w:pStyle w:val="Funotentext"/>
        <w:rPr>
          <w:lang w:val="en-US"/>
        </w:rPr>
      </w:pPr>
      <w:r>
        <w:rPr>
          <w:rStyle w:val="Funotenzeichen"/>
        </w:rPr>
        <w:footnoteRef/>
      </w:r>
      <w:r w:rsidRPr="007F797B">
        <w:rPr>
          <w:lang w:val="en-US"/>
        </w:rPr>
        <w:t xml:space="preserve"> </w:t>
      </w:r>
      <w:r w:rsidRPr="007F797B">
        <w:rPr>
          <w:i/>
          <w:lang w:val="en-US"/>
        </w:rPr>
        <w:t>Paris 1935,</w:t>
      </w:r>
      <w:r w:rsidRPr="007F797B">
        <w:rPr>
          <w:lang w:val="en-US"/>
        </w:rPr>
        <w:t xml:space="preserve"> S. 36 f.</w:t>
      </w:r>
    </w:p>
  </w:footnote>
  <w:footnote w:id="47">
    <w:p w:rsidR="00C075BF" w:rsidRDefault="00C075BF">
      <w:pPr>
        <w:pStyle w:val="Funotentext"/>
      </w:pPr>
      <w:r>
        <w:rPr>
          <w:rStyle w:val="Funotenzeichen"/>
        </w:rPr>
        <w:footnoteRef/>
      </w:r>
      <w:r>
        <w:t xml:space="preserve"> Ebd., S. 126.</w:t>
      </w:r>
    </w:p>
  </w:footnote>
  <w:footnote w:id="48">
    <w:p w:rsidR="00C075BF" w:rsidRDefault="00C075BF" w:rsidP="00430A21">
      <w:pPr>
        <w:pStyle w:val="Funotentext"/>
      </w:pPr>
      <w:r>
        <w:rPr>
          <w:rStyle w:val="Funotenzeichen"/>
        </w:rPr>
        <w:footnoteRef/>
      </w:r>
      <w:r>
        <w:t xml:space="preserve"> Ebd. – Das ist ein impliziter Verweis auf Tolstoi und andere, denen Tolstois verwandte Bestrebungen.</w:t>
      </w:r>
    </w:p>
  </w:footnote>
  <w:footnote w:id="49">
    <w:p w:rsidR="00C075BF" w:rsidRDefault="00C075BF">
      <w:pPr>
        <w:pStyle w:val="Funotentext"/>
      </w:pPr>
      <w:r>
        <w:rPr>
          <w:rStyle w:val="Funotenzeichen"/>
        </w:rPr>
        <w:footnoteRef/>
      </w:r>
      <w:r>
        <w:t xml:space="preserve"> In Gides Rede heißt es dazu: „Die UdSSR bietet uns heute ein beispielloses Schauspiel von gewaltiger, une</w:t>
      </w:r>
      <w:r>
        <w:t>r</w:t>
      </w:r>
      <w:r>
        <w:t>warteter, ich wage zu sagen exemplarischer Bedeutung. Das eines Landes, wo der Schriftsteller in direkter Ve</w:t>
      </w:r>
      <w:r>
        <w:t>r</w:t>
      </w:r>
      <w:r>
        <w:t>bindung mit seinen Lesern treten kann. Statt gegen den Strom zu schwimmen, wie wir es tun müssen, braucht er sich nur tragen zu lassen. Er kann in der ihn umgebenden Realität gleichzeitig Inspiration, Diktat und unmitte</w:t>
      </w:r>
      <w:r>
        <w:t>l</w:t>
      </w:r>
      <w:r>
        <w:t>bares Echo seines Werkes finden.“ A.a.O., S. 128 f. – Es finden sich noch mehrere solcher Belege in seiner R</w:t>
      </w:r>
      <w:r>
        <w:t>e</w:t>
      </w:r>
      <w:r>
        <w:t>de.</w:t>
      </w:r>
    </w:p>
  </w:footnote>
  <w:footnote w:id="50">
    <w:p w:rsidR="00C075BF" w:rsidRPr="00D67F98" w:rsidRDefault="00C075BF">
      <w:pPr>
        <w:pStyle w:val="Funotentext"/>
        <w:rPr>
          <w:i/>
        </w:rPr>
      </w:pPr>
      <w:r>
        <w:rPr>
          <w:rStyle w:val="Funotenzeichen"/>
        </w:rPr>
        <w:footnoteRef/>
      </w:r>
      <w:r>
        <w:t xml:space="preserve"> Wolfgang Klein: Internationale Schriftstellervereinigung, a.a.O., S. 220. Klein bestätigt damit die Angaben von Regler in </w:t>
      </w:r>
      <w:r>
        <w:rPr>
          <w:i/>
        </w:rPr>
        <w:t xml:space="preserve">Das Ohr des </w:t>
      </w:r>
      <w:proofErr w:type="spellStart"/>
      <w:r>
        <w:rPr>
          <w:i/>
        </w:rPr>
        <w:t>Malchus</w:t>
      </w:r>
      <w:proofErr w:type="spellEnd"/>
      <w:r>
        <w:rPr>
          <w:i/>
        </w:rPr>
        <w:t>.</w:t>
      </w:r>
    </w:p>
  </w:footnote>
  <w:footnote w:id="51">
    <w:p w:rsidR="00C075BF" w:rsidRPr="00E24481" w:rsidRDefault="00C075BF">
      <w:pPr>
        <w:pStyle w:val="Funotentext"/>
      </w:pPr>
      <w:r>
        <w:rPr>
          <w:rStyle w:val="Funotenzeichen"/>
        </w:rPr>
        <w:footnoteRef/>
      </w:r>
      <w:r>
        <w:t xml:space="preserve"> Der Beitrag wurde </w:t>
      </w:r>
      <w:r>
        <w:rPr>
          <w:i/>
        </w:rPr>
        <w:t>nicht</w:t>
      </w:r>
      <w:r>
        <w:t xml:space="preserve"> in die Dokumentation </w:t>
      </w:r>
      <w:r>
        <w:rPr>
          <w:i/>
        </w:rPr>
        <w:t>Paris 1935</w:t>
      </w:r>
      <w:r>
        <w:t xml:space="preserve"> aufgenommen; vgl. dazu S. 492, Anm. 405.</w:t>
      </w:r>
    </w:p>
  </w:footnote>
  <w:footnote w:id="52">
    <w:p w:rsidR="00C075BF" w:rsidRPr="00E24481" w:rsidRDefault="00C075BF">
      <w:pPr>
        <w:pStyle w:val="Funotentext"/>
      </w:pPr>
      <w:r>
        <w:rPr>
          <w:rStyle w:val="Funotenzeichen"/>
        </w:rPr>
        <w:footnoteRef/>
      </w:r>
      <w:r>
        <w:t xml:space="preserve"> Klein: </w:t>
      </w:r>
      <w:r>
        <w:rPr>
          <w:i/>
        </w:rPr>
        <w:t>Paris 1935,</w:t>
      </w:r>
      <w:r>
        <w:t xml:space="preserve"> S. 500, Anm. 543.</w:t>
      </w:r>
    </w:p>
  </w:footnote>
  <w:footnote w:id="53">
    <w:p w:rsidR="00C075BF" w:rsidRDefault="00C075BF">
      <w:pPr>
        <w:pStyle w:val="Funotentext"/>
      </w:pPr>
      <w:r>
        <w:rPr>
          <w:rStyle w:val="Funotenzeichen"/>
        </w:rPr>
        <w:footnoteRef/>
      </w:r>
      <w:r>
        <w:t xml:space="preserve"> Die Veranstalter der Inszenierung hatten es in Kauf genommen, dass Petersen anschließend nicht mehr nach Deutschland zurückkehren konnte. Da dieses Faktum jedoch voraussehbar gewesen war, hätte man auf die Ma</w:t>
      </w:r>
      <w:r>
        <w:t>s</w:t>
      </w:r>
      <w:r>
        <w:t>ke auch verzichten können.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01"/>
      <w:docPartObj>
        <w:docPartGallery w:val="Page Numbers (Top of Page)"/>
        <w:docPartUnique/>
      </w:docPartObj>
    </w:sdtPr>
    <w:sdtEndPr/>
    <w:sdtContent>
      <w:p w:rsidR="00C075BF" w:rsidRDefault="00D71066">
        <w:pPr>
          <w:pStyle w:val="Kopfzeile"/>
          <w:jc w:val="right"/>
        </w:pPr>
        <w:r>
          <w:fldChar w:fldCharType="begin"/>
        </w:r>
        <w:r>
          <w:instrText xml:space="preserve"> PAGE   \* MERGEFORMAT </w:instrText>
        </w:r>
        <w:r>
          <w:fldChar w:fldCharType="separate"/>
        </w:r>
        <w:r w:rsidR="001D2105">
          <w:rPr>
            <w:noProof/>
          </w:rPr>
          <w:t>14</w:t>
        </w:r>
        <w:r>
          <w:rPr>
            <w:noProof/>
          </w:rPr>
          <w:fldChar w:fldCharType="end"/>
        </w:r>
      </w:p>
    </w:sdtContent>
  </w:sdt>
  <w:p w:rsidR="00C075BF" w:rsidRDefault="00C075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05EB"/>
    <w:rsid w:val="000118B1"/>
    <w:rsid w:val="00012C3E"/>
    <w:rsid w:val="00032F81"/>
    <w:rsid w:val="00037CB7"/>
    <w:rsid w:val="00042654"/>
    <w:rsid w:val="0004348E"/>
    <w:rsid w:val="00057C9A"/>
    <w:rsid w:val="00060ECA"/>
    <w:rsid w:val="000645A5"/>
    <w:rsid w:val="00064C66"/>
    <w:rsid w:val="000672B5"/>
    <w:rsid w:val="00076801"/>
    <w:rsid w:val="00084F71"/>
    <w:rsid w:val="0009138A"/>
    <w:rsid w:val="000967EA"/>
    <w:rsid w:val="000A1888"/>
    <w:rsid w:val="000A24B4"/>
    <w:rsid w:val="000A2DE3"/>
    <w:rsid w:val="000A7098"/>
    <w:rsid w:val="000C1566"/>
    <w:rsid w:val="000F68A6"/>
    <w:rsid w:val="001036F1"/>
    <w:rsid w:val="00103EE0"/>
    <w:rsid w:val="001041DD"/>
    <w:rsid w:val="00107751"/>
    <w:rsid w:val="00111B3D"/>
    <w:rsid w:val="00124BA0"/>
    <w:rsid w:val="00141B20"/>
    <w:rsid w:val="00142805"/>
    <w:rsid w:val="001439C2"/>
    <w:rsid w:val="001457E9"/>
    <w:rsid w:val="00155E78"/>
    <w:rsid w:val="00163219"/>
    <w:rsid w:val="001649E4"/>
    <w:rsid w:val="00164C50"/>
    <w:rsid w:val="00165F39"/>
    <w:rsid w:val="0017712B"/>
    <w:rsid w:val="001865F5"/>
    <w:rsid w:val="001917CE"/>
    <w:rsid w:val="001A0EE2"/>
    <w:rsid w:val="001D2105"/>
    <w:rsid w:val="001D5217"/>
    <w:rsid w:val="001E2854"/>
    <w:rsid w:val="001F218F"/>
    <w:rsid w:val="001F775F"/>
    <w:rsid w:val="00207F7E"/>
    <w:rsid w:val="00212A34"/>
    <w:rsid w:val="00224EEA"/>
    <w:rsid w:val="002271B5"/>
    <w:rsid w:val="002402FD"/>
    <w:rsid w:val="00254AAA"/>
    <w:rsid w:val="00255383"/>
    <w:rsid w:val="00257A7D"/>
    <w:rsid w:val="0026073E"/>
    <w:rsid w:val="002742FD"/>
    <w:rsid w:val="00281784"/>
    <w:rsid w:val="00291B33"/>
    <w:rsid w:val="002924A8"/>
    <w:rsid w:val="002A10BC"/>
    <w:rsid w:val="002A11DB"/>
    <w:rsid w:val="002A3311"/>
    <w:rsid w:val="002C1143"/>
    <w:rsid w:val="002C4E62"/>
    <w:rsid w:val="002C6FC7"/>
    <w:rsid w:val="002D6E49"/>
    <w:rsid w:val="002D6EC4"/>
    <w:rsid w:val="002F2771"/>
    <w:rsid w:val="002F6DE8"/>
    <w:rsid w:val="002F7638"/>
    <w:rsid w:val="00301C32"/>
    <w:rsid w:val="0030298C"/>
    <w:rsid w:val="003101E0"/>
    <w:rsid w:val="0031164F"/>
    <w:rsid w:val="00314D7B"/>
    <w:rsid w:val="003257A4"/>
    <w:rsid w:val="00327CE2"/>
    <w:rsid w:val="0033523A"/>
    <w:rsid w:val="0034050C"/>
    <w:rsid w:val="0034303E"/>
    <w:rsid w:val="003645B3"/>
    <w:rsid w:val="00385749"/>
    <w:rsid w:val="00386B6F"/>
    <w:rsid w:val="00387A63"/>
    <w:rsid w:val="00395480"/>
    <w:rsid w:val="003B3D73"/>
    <w:rsid w:val="003B40AC"/>
    <w:rsid w:val="003C460F"/>
    <w:rsid w:val="003C6AFC"/>
    <w:rsid w:val="003D1CF3"/>
    <w:rsid w:val="003D25C7"/>
    <w:rsid w:val="003D79AC"/>
    <w:rsid w:val="003E52F0"/>
    <w:rsid w:val="003F08D0"/>
    <w:rsid w:val="003F1643"/>
    <w:rsid w:val="003F6E3B"/>
    <w:rsid w:val="003F7AC1"/>
    <w:rsid w:val="0040369A"/>
    <w:rsid w:val="00407693"/>
    <w:rsid w:val="00422A3A"/>
    <w:rsid w:val="00424C13"/>
    <w:rsid w:val="00425F88"/>
    <w:rsid w:val="00430A21"/>
    <w:rsid w:val="0043796D"/>
    <w:rsid w:val="00437A9C"/>
    <w:rsid w:val="00462647"/>
    <w:rsid w:val="00463AFF"/>
    <w:rsid w:val="00463E80"/>
    <w:rsid w:val="0047122D"/>
    <w:rsid w:val="004744B1"/>
    <w:rsid w:val="004759EA"/>
    <w:rsid w:val="004760DF"/>
    <w:rsid w:val="00485959"/>
    <w:rsid w:val="00487213"/>
    <w:rsid w:val="004901B8"/>
    <w:rsid w:val="004924AA"/>
    <w:rsid w:val="00497A77"/>
    <w:rsid w:val="00497FC0"/>
    <w:rsid w:val="004A4B93"/>
    <w:rsid w:val="004B19C4"/>
    <w:rsid w:val="004B2CCE"/>
    <w:rsid w:val="004C03AC"/>
    <w:rsid w:val="004C0990"/>
    <w:rsid w:val="004C1517"/>
    <w:rsid w:val="004C2344"/>
    <w:rsid w:val="004D18C1"/>
    <w:rsid w:val="004D633A"/>
    <w:rsid w:val="004F317D"/>
    <w:rsid w:val="005044C3"/>
    <w:rsid w:val="00523F72"/>
    <w:rsid w:val="0052717D"/>
    <w:rsid w:val="00531795"/>
    <w:rsid w:val="00536D67"/>
    <w:rsid w:val="0054146B"/>
    <w:rsid w:val="005449B2"/>
    <w:rsid w:val="005567D3"/>
    <w:rsid w:val="00563D7B"/>
    <w:rsid w:val="005658B1"/>
    <w:rsid w:val="00567F8A"/>
    <w:rsid w:val="0057287F"/>
    <w:rsid w:val="00574628"/>
    <w:rsid w:val="005759F0"/>
    <w:rsid w:val="00591429"/>
    <w:rsid w:val="005B3328"/>
    <w:rsid w:val="005B3B9C"/>
    <w:rsid w:val="005B3F35"/>
    <w:rsid w:val="005B56E6"/>
    <w:rsid w:val="005B753C"/>
    <w:rsid w:val="005C03AD"/>
    <w:rsid w:val="005C0D50"/>
    <w:rsid w:val="005C604B"/>
    <w:rsid w:val="005D5D91"/>
    <w:rsid w:val="005E05EB"/>
    <w:rsid w:val="005E3EC4"/>
    <w:rsid w:val="00611629"/>
    <w:rsid w:val="006118B6"/>
    <w:rsid w:val="0062316A"/>
    <w:rsid w:val="0062322F"/>
    <w:rsid w:val="00625E94"/>
    <w:rsid w:val="00633E66"/>
    <w:rsid w:val="00636A06"/>
    <w:rsid w:val="00640CC2"/>
    <w:rsid w:val="00643CEF"/>
    <w:rsid w:val="00682394"/>
    <w:rsid w:val="00682B89"/>
    <w:rsid w:val="00683F7C"/>
    <w:rsid w:val="00690182"/>
    <w:rsid w:val="00690470"/>
    <w:rsid w:val="00694E21"/>
    <w:rsid w:val="00697A32"/>
    <w:rsid w:val="006B230B"/>
    <w:rsid w:val="006B275A"/>
    <w:rsid w:val="006B47DB"/>
    <w:rsid w:val="006D25C4"/>
    <w:rsid w:val="006D71D6"/>
    <w:rsid w:val="006E4B91"/>
    <w:rsid w:val="006E4F57"/>
    <w:rsid w:val="006F0639"/>
    <w:rsid w:val="006F1DDF"/>
    <w:rsid w:val="006F580B"/>
    <w:rsid w:val="00706A94"/>
    <w:rsid w:val="00707BF3"/>
    <w:rsid w:val="00717B16"/>
    <w:rsid w:val="00717F54"/>
    <w:rsid w:val="00722660"/>
    <w:rsid w:val="00731034"/>
    <w:rsid w:val="0073411F"/>
    <w:rsid w:val="00735C47"/>
    <w:rsid w:val="00740268"/>
    <w:rsid w:val="00766D03"/>
    <w:rsid w:val="007716CC"/>
    <w:rsid w:val="00775E71"/>
    <w:rsid w:val="00777AD3"/>
    <w:rsid w:val="007803BD"/>
    <w:rsid w:val="007934D8"/>
    <w:rsid w:val="007A71A2"/>
    <w:rsid w:val="007C1DD3"/>
    <w:rsid w:val="007C4024"/>
    <w:rsid w:val="007C4467"/>
    <w:rsid w:val="007D2411"/>
    <w:rsid w:val="007E339D"/>
    <w:rsid w:val="007E3C76"/>
    <w:rsid w:val="007F6538"/>
    <w:rsid w:val="007F78F0"/>
    <w:rsid w:val="007F797B"/>
    <w:rsid w:val="008105ED"/>
    <w:rsid w:val="00810CEA"/>
    <w:rsid w:val="008208CD"/>
    <w:rsid w:val="00824134"/>
    <w:rsid w:val="008318C4"/>
    <w:rsid w:val="008353D0"/>
    <w:rsid w:val="00836A91"/>
    <w:rsid w:val="00844F88"/>
    <w:rsid w:val="00846750"/>
    <w:rsid w:val="00852AAD"/>
    <w:rsid w:val="0085530E"/>
    <w:rsid w:val="00860E46"/>
    <w:rsid w:val="00883D70"/>
    <w:rsid w:val="008A41F5"/>
    <w:rsid w:val="008A6806"/>
    <w:rsid w:val="008A7121"/>
    <w:rsid w:val="008B0A14"/>
    <w:rsid w:val="008B629A"/>
    <w:rsid w:val="008C6620"/>
    <w:rsid w:val="008C683D"/>
    <w:rsid w:val="008D1703"/>
    <w:rsid w:val="008E3CD5"/>
    <w:rsid w:val="008E4240"/>
    <w:rsid w:val="00900CB8"/>
    <w:rsid w:val="009033BF"/>
    <w:rsid w:val="009117B8"/>
    <w:rsid w:val="00915597"/>
    <w:rsid w:val="00924BD9"/>
    <w:rsid w:val="00931388"/>
    <w:rsid w:val="009338B8"/>
    <w:rsid w:val="0094269B"/>
    <w:rsid w:val="00946693"/>
    <w:rsid w:val="00946B77"/>
    <w:rsid w:val="00947F04"/>
    <w:rsid w:val="009520B5"/>
    <w:rsid w:val="00961227"/>
    <w:rsid w:val="00964D82"/>
    <w:rsid w:val="00971F01"/>
    <w:rsid w:val="00981293"/>
    <w:rsid w:val="009A15E1"/>
    <w:rsid w:val="009B3F73"/>
    <w:rsid w:val="009C0F51"/>
    <w:rsid w:val="009D77AF"/>
    <w:rsid w:val="009F09F5"/>
    <w:rsid w:val="009F7069"/>
    <w:rsid w:val="009F786A"/>
    <w:rsid w:val="00A06898"/>
    <w:rsid w:val="00A16104"/>
    <w:rsid w:val="00A24C97"/>
    <w:rsid w:val="00A30756"/>
    <w:rsid w:val="00A31A6A"/>
    <w:rsid w:val="00A3728C"/>
    <w:rsid w:val="00A41DC8"/>
    <w:rsid w:val="00A44A3F"/>
    <w:rsid w:val="00A631D9"/>
    <w:rsid w:val="00A70DC7"/>
    <w:rsid w:val="00A75ED6"/>
    <w:rsid w:val="00A77863"/>
    <w:rsid w:val="00A930F3"/>
    <w:rsid w:val="00A9584D"/>
    <w:rsid w:val="00AB673F"/>
    <w:rsid w:val="00AC07BE"/>
    <w:rsid w:val="00AD076E"/>
    <w:rsid w:val="00AD2743"/>
    <w:rsid w:val="00AD27BC"/>
    <w:rsid w:val="00AD63BD"/>
    <w:rsid w:val="00AE0AF0"/>
    <w:rsid w:val="00AE1D7E"/>
    <w:rsid w:val="00AE3785"/>
    <w:rsid w:val="00AE7DEE"/>
    <w:rsid w:val="00AF3AFE"/>
    <w:rsid w:val="00AF6FED"/>
    <w:rsid w:val="00B02C95"/>
    <w:rsid w:val="00B12827"/>
    <w:rsid w:val="00B2513C"/>
    <w:rsid w:val="00B26467"/>
    <w:rsid w:val="00B278A2"/>
    <w:rsid w:val="00B356B0"/>
    <w:rsid w:val="00B36D95"/>
    <w:rsid w:val="00B5536E"/>
    <w:rsid w:val="00B624D3"/>
    <w:rsid w:val="00B76D0C"/>
    <w:rsid w:val="00B77509"/>
    <w:rsid w:val="00B97CFC"/>
    <w:rsid w:val="00BA6A11"/>
    <w:rsid w:val="00BB0C1E"/>
    <w:rsid w:val="00BB0DFB"/>
    <w:rsid w:val="00BB315D"/>
    <w:rsid w:val="00BB3947"/>
    <w:rsid w:val="00BB6AEB"/>
    <w:rsid w:val="00BC05CD"/>
    <w:rsid w:val="00BC2C30"/>
    <w:rsid w:val="00BD48BC"/>
    <w:rsid w:val="00BD5F6A"/>
    <w:rsid w:val="00BF23FB"/>
    <w:rsid w:val="00BF506A"/>
    <w:rsid w:val="00BF517E"/>
    <w:rsid w:val="00C070F0"/>
    <w:rsid w:val="00C075BF"/>
    <w:rsid w:val="00C10541"/>
    <w:rsid w:val="00C114E3"/>
    <w:rsid w:val="00C16192"/>
    <w:rsid w:val="00C17D80"/>
    <w:rsid w:val="00C417C8"/>
    <w:rsid w:val="00C5724A"/>
    <w:rsid w:val="00C669FF"/>
    <w:rsid w:val="00C85B03"/>
    <w:rsid w:val="00C94C3A"/>
    <w:rsid w:val="00CA7424"/>
    <w:rsid w:val="00CB4BED"/>
    <w:rsid w:val="00CB54CC"/>
    <w:rsid w:val="00CB59F9"/>
    <w:rsid w:val="00CB5C35"/>
    <w:rsid w:val="00CC379E"/>
    <w:rsid w:val="00CD3541"/>
    <w:rsid w:val="00CD4109"/>
    <w:rsid w:val="00CD596A"/>
    <w:rsid w:val="00CE363C"/>
    <w:rsid w:val="00CE573C"/>
    <w:rsid w:val="00CE7C57"/>
    <w:rsid w:val="00CF7A02"/>
    <w:rsid w:val="00D0060B"/>
    <w:rsid w:val="00D0553E"/>
    <w:rsid w:val="00D109B1"/>
    <w:rsid w:val="00D15036"/>
    <w:rsid w:val="00D16C5F"/>
    <w:rsid w:val="00D21B03"/>
    <w:rsid w:val="00D378A7"/>
    <w:rsid w:val="00D40643"/>
    <w:rsid w:val="00D4385C"/>
    <w:rsid w:val="00D469C5"/>
    <w:rsid w:val="00D46D42"/>
    <w:rsid w:val="00D630D8"/>
    <w:rsid w:val="00D67F98"/>
    <w:rsid w:val="00D71066"/>
    <w:rsid w:val="00D72812"/>
    <w:rsid w:val="00D80826"/>
    <w:rsid w:val="00D84501"/>
    <w:rsid w:val="00D865BF"/>
    <w:rsid w:val="00D91E4F"/>
    <w:rsid w:val="00D9216B"/>
    <w:rsid w:val="00D943EB"/>
    <w:rsid w:val="00DA1D5C"/>
    <w:rsid w:val="00DA2438"/>
    <w:rsid w:val="00DA683F"/>
    <w:rsid w:val="00DB64FA"/>
    <w:rsid w:val="00DB7880"/>
    <w:rsid w:val="00DD4086"/>
    <w:rsid w:val="00DE760B"/>
    <w:rsid w:val="00E21916"/>
    <w:rsid w:val="00E24481"/>
    <w:rsid w:val="00E34B43"/>
    <w:rsid w:val="00E443AD"/>
    <w:rsid w:val="00E44BDD"/>
    <w:rsid w:val="00E66CAE"/>
    <w:rsid w:val="00E7688C"/>
    <w:rsid w:val="00E8245C"/>
    <w:rsid w:val="00E87E8C"/>
    <w:rsid w:val="00E95373"/>
    <w:rsid w:val="00E96613"/>
    <w:rsid w:val="00EA52B6"/>
    <w:rsid w:val="00EA5307"/>
    <w:rsid w:val="00EA7075"/>
    <w:rsid w:val="00EB3E4D"/>
    <w:rsid w:val="00EB7831"/>
    <w:rsid w:val="00EE3046"/>
    <w:rsid w:val="00F17FC5"/>
    <w:rsid w:val="00F211A0"/>
    <w:rsid w:val="00F2725B"/>
    <w:rsid w:val="00F3463D"/>
    <w:rsid w:val="00F43CFB"/>
    <w:rsid w:val="00F51F69"/>
    <w:rsid w:val="00F637CF"/>
    <w:rsid w:val="00F66F57"/>
    <w:rsid w:val="00F713B4"/>
    <w:rsid w:val="00F720A4"/>
    <w:rsid w:val="00F81B78"/>
    <w:rsid w:val="00F83771"/>
    <w:rsid w:val="00F841E5"/>
    <w:rsid w:val="00F85349"/>
    <w:rsid w:val="00F85EDC"/>
    <w:rsid w:val="00F87231"/>
    <w:rsid w:val="00FA60C9"/>
    <w:rsid w:val="00FA7E96"/>
    <w:rsid w:val="00FB16D9"/>
    <w:rsid w:val="00FB2F78"/>
    <w:rsid w:val="00FE66F2"/>
    <w:rsid w:val="00FF3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0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05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05EB"/>
  </w:style>
  <w:style w:type="paragraph" w:styleId="Fuzeile">
    <w:name w:val="footer"/>
    <w:basedOn w:val="Standard"/>
    <w:link w:val="FuzeileZchn"/>
    <w:uiPriority w:val="99"/>
    <w:semiHidden/>
    <w:unhideWhenUsed/>
    <w:rsid w:val="005E05E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E05EB"/>
  </w:style>
  <w:style w:type="paragraph" w:styleId="Listenabsatz">
    <w:name w:val="List Paragraph"/>
    <w:basedOn w:val="Standard"/>
    <w:uiPriority w:val="34"/>
    <w:qFormat/>
    <w:rsid w:val="007A71A2"/>
    <w:pPr>
      <w:ind w:left="720"/>
      <w:contextualSpacing/>
    </w:pPr>
  </w:style>
  <w:style w:type="paragraph" w:styleId="Funotentext">
    <w:name w:val="footnote text"/>
    <w:basedOn w:val="Standard"/>
    <w:link w:val="FunotentextZchn"/>
    <w:uiPriority w:val="99"/>
    <w:unhideWhenUsed/>
    <w:rsid w:val="009B3F73"/>
    <w:pPr>
      <w:spacing w:after="0" w:line="240" w:lineRule="auto"/>
    </w:pPr>
  </w:style>
  <w:style w:type="character" w:customStyle="1" w:styleId="FunotentextZchn">
    <w:name w:val="Fußnotentext Zchn"/>
    <w:basedOn w:val="Absatz-Standardschriftart"/>
    <w:link w:val="Funotentext"/>
    <w:uiPriority w:val="99"/>
    <w:rsid w:val="009B3F73"/>
  </w:style>
  <w:style w:type="character" w:styleId="Funotenzeichen">
    <w:name w:val="footnote reference"/>
    <w:basedOn w:val="Absatz-Standardschriftart"/>
    <w:uiPriority w:val="99"/>
    <w:semiHidden/>
    <w:unhideWhenUsed/>
    <w:rsid w:val="009B3F73"/>
    <w:rPr>
      <w:vertAlign w:val="superscript"/>
    </w:rPr>
  </w:style>
  <w:style w:type="paragraph" w:styleId="Sprechblasentext">
    <w:name w:val="Balloon Text"/>
    <w:basedOn w:val="Standard"/>
    <w:link w:val="SprechblasentextZchn"/>
    <w:uiPriority w:val="99"/>
    <w:semiHidden/>
    <w:unhideWhenUsed/>
    <w:rsid w:val="008B629A"/>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8B629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4A83-7832-4642-AEF0-E36DC7F0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5772</Words>
  <Characters>36367</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2010-11-19T11:51:00Z</cp:lastPrinted>
  <dcterms:created xsi:type="dcterms:W3CDTF">2011-08-06T06:54:00Z</dcterms:created>
  <dcterms:modified xsi:type="dcterms:W3CDTF">2012-08-01T14:14:00Z</dcterms:modified>
</cp:coreProperties>
</file>