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34" w:rsidRPr="00805BEF" w:rsidRDefault="00805BEF" w:rsidP="005A5F9A">
      <w:pPr>
        <w:spacing w:after="0"/>
        <w:jc w:val="both"/>
        <w:rPr>
          <w:b/>
          <w:sz w:val="24"/>
          <w:szCs w:val="24"/>
        </w:rPr>
      </w:pPr>
      <w:bookmarkStart w:id="0" w:name="_GoBack"/>
      <w:r>
        <w:rPr>
          <w:b/>
          <w:sz w:val="24"/>
          <w:szCs w:val="24"/>
        </w:rPr>
        <w:t>(7) Pos</w:t>
      </w:r>
      <w:r w:rsidR="00D82578">
        <w:rPr>
          <w:b/>
          <w:sz w:val="24"/>
          <w:szCs w:val="24"/>
        </w:rPr>
        <w:t>i</w:t>
      </w:r>
      <w:r>
        <w:rPr>
          <w:b/>
          <w:sz w:val="24"/>
          <w:szCs w:val="24"/>
        </w:rPr>
        <w:t xml:space="preserve">tionen 2: </w:t>
      </w:r>
      <w:r w:rsidR="00D82578">
        <w:rPr>
          <w:b/>
          <w:sz w:val="24"/>
          <w:szCs w:val="24"/>
        </w:rPr>
        <w:t xml:space="preserve">Ein </w:t>
      </w:r>
      <w:r>
        <w:rPr>
          <w:b/>
          <w:sz w:val="24"/>
          <w:szCs w:val="24"/>
        </w:rPr>
        <w:t>Brief von Fritz (Perez) Naphtali an Paul Hertz</w:t>
      </w:r>
    </w:p>
    <w:p w:rsidR="00805BEF" w:rsidRPr="00805BEF" w:rsidRDefault="00805BEF" w:rsidP="005A5F9A">
      <w:pPr>
        <w:spacing w:after="0"/>
        <w:jc w:val="both"/>
        <w:rPr>
          <w:sz w:val="24"/>
          <w:szCs w:val="24"/>
        </w:rPr>
      </w:pPr>
    </w:p>
    <w:p w:rsidR="00805BEF" w:rsidRPr="00805BEF" w:rsidRDefault="00805BEF" w:rsidP="005A5F9A">
      <w:pPr>
        <w:spacing w:after="0"/>
        <w:jc w:val="both"/>
        <w:rPr>
          <w:sz w:val="24"/>
          <w:szCs w:val="24"/>
        </w:rPr>
      </w:pPr>
      <w:r w:rsidRPr="00805BEF">
        <w:rPr>
          <w:sz w:val="24"/>
          <w:szCs w:val="24"/>
        </w:rPr>
        <w:t>Anfang</w:t>
      </w:r>
      <w:r>
        <w:rPr>
          <w:sz w:val="24"/>
          <w:szCs w:val="24"/>
        </w:rPr>
        <w:t xml:space="preserve"> 1934 richtet Fritz Naphtali, vor 1933 Leiter der Forschungsstelle für Wirtschaftspol</w:t>
      </w:r>
      <w:r>
        <w:rPr>
          <w:sz w:val="24"/>
          <w:szCs w:val="24"/>
        </w:rPr>
        <w:t>i</w:t>
      </w:r>
      <w:r>
        <w:rPr>
          <w:sz w:val="24"/>
          <w:szCs w:val="24"/>
        </w:rPr>
        <w:t>tik des Allgemeinen Deutschen Gewerkschaftsbundes in Berlin und Mitglied der SPD</w:t>
      </w:r>
      <w:r w:rsidR="0074772D">
        <w:rPr>
          <w:sz w:val="24"/>
          <w:szCs w:val="24"/>
        </w:rPr>
        <w:t>,</w:t>
      </w:r>
      <w:r>
        <w:rPr>
          <w:sz w:val="24"/>
          <w:szCs w:val="24"/>
        </w:rPr>
        <w:t xml:space="preserve"> von Palästina aus einen Brief Paul Hertz, Mitglied im Parteivorstand der SPD</w:t>
      </w:r>
      <w:r w:rsidR="00DD52D1">
        <w:rPr>
          <w:sz w:val="24"/>
          <w:szCs w:val="24"/>
        </w:rPr>
        <w:t xml:space="preserve"> in Prag (</w:t>
      </w:r>
      <w:proofErr w:type="spellStart"/>
      <w:r w:rsidR="00DD52D1">
        <w:rPr>
          <w:sz w:val="24"/>
          <w:szCs w:val="24"/>
        </w:rPr>
        <w:t>Sopade</w:t>
      </w:r>
      <w:proofErr w:type="spellEnd"/>
      <w:r w:rsidR="00DD52D1">
        <w:rPr>
          <w:sz w:val="24"/>
          <w:szCs w:val="24"/>
        </w:rPr>
        <w:t>)</w:t>
      </w:r>
      <w:r w:rsidR="000E63FF">
        <w:rPr>
          <w:sz w:val="24"/>
          <w:szCs w:val="24"/>
        </w:rPr>
        <w:t>.</w:t>
      </w:r>
      <w:r w:rsidR="00D82578">
        <w:rPr>
          <w:rStyle w:val="Funotenzeichen"/>
          <w:sz w:val="24"/>
          <w:szCs w:val="24"/>
        </w:rPr>
        <w:footnoteReference w:id="1"/>
      </w:r>
      <w:r w:rsidR="000E63FF">
        <w:rPr>
          <w:sz w:val="24"/>
          <w:szCs w:val="24"/>
        </w:rPr>
        <w:t xml:space="preserve"> </w:t>
      </w:r>
      <w:r w:rsidR="006D31CA">
        <w:rPr>
          <w:sz w:val="24"/>
          <w:szCs w:val="24"/>
        </w:rPr>
        <w:t>Er</w:t>
      </w:r>
      <w:r w:rsidR="000E63FF">
        <w:rPr>
          <w:sz w:val="24"/>
          <w:szCs w:val="24"/>
        </w:rPr>
        <w:t xml:space="preserve"> geht </w:t>
      </w:r>
      <w:r w:rsidR="006D31CA">
        <w:rPr>
          <w:sz w:val="24"/>
          <w:szCs w:val="24"/>
        </w:rPr>
        <w:t>da</w:t>
      </w:r>
      <w:r w:rsidR="000E63FF">
        <w:rPr>
          <w:sz w:val="24"/>
          <w:szCs w:val="24"/>
        </w:rPr>
        <w:t xml:space="preserve">bei auf die Umstände ein, die im Mai und Juni 1933 zuerst zur Spaltung, dann zur </w:t>
      </w:r>
      <w:r w:rsidR="00E64627">
        <w:rPr>
          <w:sz w:val="24"/>
          <w:szCs w:val="24"/>
        </w:rPr>
        <w:t xml:space="preserve">faktischen </w:t>
      </w:r>
      <w:r w:rsidR="000E63FF">
        <w:rPr>
          <w:sz w:val="24"/>
          <w:szCs w:val="24"/>
        </w:rPr>
        <w:t>Selbstauflösung der SPD</w:t>
      </w:r>
      <w:r w:rsidR="00E64627">
        <w:rPr>
          <w:rStyle w:val="Funotenzeichen"/>
          <w:sz w:val="24"/>
          <w:szCs w:val="24"/>
        </w:rPr>
        <w:footnoteReference w:id="2"/>
      </w:r>
      <w:r w:rsidR="000E63FF">
        <w:rPr>
          <w:sz w:val="24"/>
          <w:szCs w:val="24"/>
        </w:rPr>
        <w:t xml:space="preserve"> geführt hatten</w:t>
      </w:r>
      <w:r w:rsidR="006D31CA">
        <w:rPr>
          <w:sz w:val="24"/>
          <w:szCs w:val="24"/>
        </w:rPr>
        <w:t>.</w:t>
      </w:r>
      <w:r w:rsidR="006D31CA" w:rsidRPr="006D31CA">
        <w:rPr>
          <w:sz w:val="24"/>
          <w:szCs w:val="24"/>
        </w:rPr>
        <w:t xml:space="preserve"> </w:t>
      </w:r>
      <w:r w:rsidR="006D31CA">
        <w:rPr>
          <w:sz w:val="24"/>
          <w:szCs w:val="24"/>
        </w:rPr>
        <w:t>Hertz wie Naphtali sind jüdischer He</w:t>
      </w:r>
      <w:r w:rsidR="006D31CA">
        <w:rPr>
          <w:sz w:val="24"/>
          <w:szCs w:val="24"/>
        </w:rPr>
        <w:t>r</w:t>
      </w:r>
      <w:r w:rsidR="006D31CA">
        <w:rPr>
          <w:sz w:val="24"/>
          <w:szCs w:val="24"/>
        </w:rPr>
        <w:t>kunft</w:t>
      </w:r>
      <w:r>
        <w:rPr>
          <w:sz w:val="24"/>
          <w:szCs w:val="24"/>
        </w:rPr>
        <w:t>:</w:t>
      </w:r>
      <w:r>
        <w:rPr>
          <w:rStyle w:val="Funotenzeichen"/>
          <w:sz w:val="24"/>
          <w:szCs w:val="24"/>
        </w:rPr>
        <w:footnoteReference w:id="3"/>
      </w:r>
      <w:r>
        <w:rPr>
          <w:sz w:val="24"/>
          <w:szCs w:val="24"/>
        </w:rPr>
        <w:t xml:space="preserve"> </w:t>
      </w:r>
    </w:p>
    <w:p w:rsidR="00805BEF" w:rsidRDefault="0074772D" w:rsidP="005A5F9A">
      <w:pPr>
        <w:spacing w:after="0"/>
        <w:ind w:left="1134"/>
        <w:jc w:val="both"/>
        <w:rPr>
          <w:sz w:val="24"/>
          <w:szCs w:val="24"/>
        </w:rPr>
      </w:pPr>
      <w:r>
        <w:rPr>
          <w:sz w:val="24"/>
          <w:szCs w:val="24"/>
        </w:rPr>
        <w:t>„Lieber Genosse Hertz,</w:t>
      </w:r>
    </w:p>
    <w:p w:rsidR="0074772D" w:rsidRDefault="0074772D" w:rsidP="005A5F9A">
      <w:pPr>
        <w:spacing w:after="0"/>
        <w:ind w:left="1134"/>
        <w:jc w:val="both"/>
        <w:rPr>
          <w:sz w:val="24"/>
          <w:szCs w:val="24"/>
        </w:rPr>
      </w:pPr>
      <w:r>
        <w:rPr>
          <w:sz w:val="24"/>
          <w:szCs w:val="24"/>
        </w:rPr>
        <w:t xml:space="preserve">ich habe mich sehr gefreut, aus Ihrem Brief vom 13. 1. </w:t>
      </w:r>
      <w:r w:rsidR="00D82578">
        <w:rPr>
          <w:sz w:val="24"/>
          <w:szCs w:val="24"/>
        </w:rPr>
        <w:t>z</w:t>
      </w:r>
      <w:r>
        <w:rPr>
          <w:sz w:val="24"/>
          <w:szCs w:val="24"/>
        </w:rPr>
        <w:t xml:space="preserve">u ersehen, </w:t>
      </w:r>
      <w:proofErr w:type="spellStart"/>
      <w:r>
        <w:rPr>
          <w:sz w:val="24"/>
          <w:szCs w:val="24"/>
        </w:rPr>
        <w:t>daß</w:t>
      </w:r>
      <w:proofErr w:type="spellEnd"/>
      <w:r>
        <w:rPr>
          <w:sz w:val="24"/>
          <w:szCs w:val="24"/>
        </w:rPr>
        <w:t xml:space="preserve"> mein Brief vom 30. 12. [1933] dort [vermutlich beim Exilvorstand der SPD] nicht falsch ve</w:t>
      </w:r>
      <w:r>
        <w:rPr>
          <w:sz w:val="24"/>
          <w:szCs w:val="24"/>
        </w:rPr>
        <w:t>r</w:t>
      </w:r>
      <w:r>
        <w:rPr>
          <w:sz w:val="24"/>
          <w:szCs w:val="24"/>
        </w:rPr>
        <w:t xml:space="preserve">standen worden ist. Was das Vergangene anbelangt, so handelt es sich nicht um Erfahrungen persönlicher Art. Aber </w:t>
      </w:r>
      <w:proofErr w:type="spellStart"/>
      <w:r>
        <w:rPr>
          <w:sz w:val="24"/>
          <w:szCs w:val="24"/>
        </w:rPr>
        <w:t>daß</w:t>
      </w:r>
      <w:proofErr w:type="spellEnd"/>
      <w:r>
        <w:rPr>
          <w:sz w:val="24"/>
          <w:szCs w:val="24"/>
        </w:rPr>
        <w:t xml:space="preserve"> in jener verhängnisvollen Juni-Sitzung der sozialdemokratischen [Reichstags-]</w:t>
      </w:r>
      <w:r w:rsidR="000E63FF">
        <w:rPr>
          <w:sz w:val="24"/>
          <w:szCs w:val="24"/>
        </w:rPr>
        <w:t xml:space="preserve"> Fraktion, die eine Mehrheitsentscheidung für Hitler brachte, in dem Kreis der Menschen, die nun einmal das höchste Ve</w:t>
      </w:r>
      <w:r w:rsidR="000E63FF">
        <w:rPr>
          <w:sz w:val="24"/>
          <w:szCs w:val="24"/>
        </w:rPr>
        <w:t>r</w:t>
      </w:r>
      <w:r w:rsidR="000E63FF">
        <w:rPr>
          <w:sz w:val="24"/>
          <w:szCs w:val="24"/>
        </w:rPr>
        <w:t>trauensamt der Partei erhalten hatten, es mögl</w:t>
      </w:r>
      <w:r w:rsidR="00D82578">
        <w:rPr>
          <w:sz w:val="24"/>
          <w:szCs w:val="24"/>
        </w:rPr>
        <w:t>i</w:t>
      </w:r>
      <w:r w:rsidR="000E63FF">
        <w:rPr>
          <w:sz w:val="24"/>
          <w:szCs w:val="24"/>
        </w:rPr>
        <w:t xml:space="preserve">ch war, einfach mit antisemitischen Argumenten zu arbeiten, ohne </w:t>
      </w:r>
      <w:proofErr w:type="spellStart"/>
      <w:r w:rsidR="000E63FF">
        <w:rPr>
          <w:sz w:val="24"/>
          <w:szCs w:val="24"/>
        </w:rPr>
        <w:t>daß</w:t>
      </w:r>
      <w:proofErr w:type="spellEnd"/>
      <w:r w:rsidR="000E63FF">
        <w:rPr>
          <w:sz w:val="24"/>
          <w:szCs w:val="24"/>
        </w:rPr>
        <w:t xml:space="preserve"> die, die sie gebrauchten, sich dadurch unmö</w:t>
      </w:r>
      <w:r w:rsidR="000E63FF">
        <w:rPr>
          <w:sz w:val="24"/>
          <w:szCs w:val="24"/>
        </w:rPr>
        <w:t>g</w:t>
      </w:r>
      <w:r w:rsidR="000E63FF">
        <w:rPr>
          <w:sz w:val="24"/>
          <w:szCs w:val="24"/>
        </w:rPr>
        <w:t>lich machten, war in der Tat mehr, als ich, der ich ja diesen Punkt immer stark empfunden habe, für möglich gehalten hätte.</w:t>
      </w:r>
    </w:p>
    <w:p w:rsidR="00F918AB" w:rsidRDefault="00F918AB" w:rsidP="005A5F9A">
      <w:pPr>
        <w:spacing w:after="0"/>
        <w:ind w:left="1134"/>
        <w:jc w:val="both"/>
        <w:rPr>
          <w:sz w:val="24"/>
          <w:szCs w:val="24"/>
        </w:rPr>
      </w:pPr>
      <w:proofErr w:type="spellStart"/>
      <w:r>
        <w:rPr>
          <w:sz w:val="24"/>
          <w:szCs w:val="24"/>
        </w:rPr>
        <w:t>Daß</w:t>
      </w:r>
      <w:proofErr w:type="spellEnd"/>
      <w:r>
        <w:rPr>
          <w:sz w:val="24"/>
          <w:szCs w:val="24"/>
        </w:rPr>
        <w:t xml:space="preserve"> bei den Gewerkschaften, deren Führer auch leitende Parteigenossen waren, der Antisemitismus nicht die geringste Hemmung für eine Verständigung mit Hi</w:t>
      </w:r>
      <w:r>
        <w:rPr>
          <w:sz w:val="24"/>
          <w:szCs w:val="24"/>
        </w:rPr>
        <w:t>t</w:t>
      </w:r>
      <w:r>
        <w:rPr>
          <w:sz w:val="24"/>
          <w:szCs w:val="24"/>
        </w:rPr>
        <w:t>ler gebildet hätte, vervollständigt das Bild. Und der Spitze entsprach in dieser B</w:t>
      </w:r>
      <w:r>
        <w:rPr>
          <w:sz w:val="24"/>
          <w:szCs w:val="24"/>
        </w:rPr>
        <w:t>e</w:t>
      </w:r>
      <w:r>
        <w:rPr>
          <w:sz w:val="24"/>
          <w:szCs w:val="24"/>
        </w:rPr>
        <w:t xml:space="preserve">ziehung der Körper unten. In </w:t>
      </w:r>
      <w:proofErr w:type="spellStart"/>
      <w:r>
        <w:rPr>
          <w:sz w:val="24"/>
          <w:szCs w:val="24"/>
        </w:rPr>
        <w:t>Eichkamp</w:t>
      </w:r>
      <w:proofErr w:type="spellEnd"/>
      <w:r>
        <w:rPr>
          <w:sz w:val="24"/>
          <w:szCs w:val="24"/>
        </w:rPr>
        <w:t xml:space="preserve"> z.B. haben Helfer der ‚Kinderfreunde‘</w:t>
      </w:r>
      <w:r>
        <w:rPr>
          <w:rStyle w:val="Funotenzeichen"/>
          <w:sz w:val="24"/>
          <w:szCs w:val="24"/>
        </w:rPr>
        <w:footnoteReference w:id="4"/>
      </w:r>
      <w:r w:rsidR="009A03B5">
        <w:rPr>
          <w:sz w:val="24"/>
          <w:szCs w:val="24"/>
        </w:rPr>
        <w:t xml:space="preserve"> nach dem 5. März einen jüdischen Jungen – Sohn von Arnold Zweig – gebeten, doch freiwillig auszutreten, da die Mitgliedschaft von Juden die Verständigung über das Fortbestehen [der Organisation] erschweren würde!</w:t>
      </w:r>
    </w:p>
    <w:p w:rsidR="009A03B5" w:rsidRPr="00805BEF" w:rsidRDefault="009A03B5" w:rsidP="005A5F9A">
      <w:pPr>
        <w:spacing w:after="0"/>
        <w:ind w:left="1134"/>
        <w:jc w:val="both"/>
        <w:rPr>
          <w:sz w:val="24"/>
          <w:szCs w:val="24"/>
        </w:rPr>
      </w:pPr>
      <w:r>
        <w:rPr>
          <w:sz w:val="24"/>
          <w:szCs w:val="24"/>
        </w:rPr>
        <w:t>Wenn das alles möglich war, so hat es mich allerdings in der Auffassung bestärkt, wie erschreckend oberflächlich die sozialistische Ethik in unserer Bewegung war und wie weit sozialdemokratisches Bekenntnis davon entfernt ist, für sich allein das Problem des Lebens der Juden in der nichtjüdischen Umwelt zu lösen. Selbs</w:t>
      </w:r>
      <w:r>
        <w:rPr>
          <w:sz w:val="24"/>
          <w:szCs w:val="24"/>
        </w:rPr>
        <w:t>t</w:t>
      </w:r>
      <w:r>
        <w:rPr>
          <w:sz w:val="24"/>
          <w:szCs w:val="24"/>
        </w:rPr>
        <w:t xml:space="preserve">verständlich weiß ich, </w:t>
      </w:r>
      <w:proofErr w:type="spellStart"/>
      <w:r>
        <w:rPr>
          <w:sz w:val="24"/>
          <w:szCs w:val="24"/>
        </w:rPr>
        <w:t>daß</w:t>
      </w:r>
      <w:proofErr w:type="spellEnd"/>
      <w:r>
        <w:rPr>
          <w:sz w:val="24"/>
          <w:szCs w:val="24"/>
        </w:rPr>
        <w:t xml:space="preserve"> es auch Menschen mit anderer Haltung unter unseren Freunden gab und gibt, und ich persönlich habe ja die größte Hilfe von dem </w:t>
      </w:r>
      <w:r>
        <w:rPr>
          <w:sz w:val="24"/>
          <w:szCs w:val="24"/>
        </w:rPr>
        <w:lastRenderedPageBreak/>
        <w:t>Nichtjuden Staudinger gehabt,</w:t>
      </w:r>
      <w:r w:rsidRPr="009A03B5">
        <w:rPr>
          <w:rStyle w:val="Funotenzeichen"/>
          <w:sz w:val="24"/>
          <w:szCs w:val="24"/>
        </w:rPr>
        <w:t xml:space="preserve"> </w:t>
      </w:r>
      <w:r>
        <w:rPr>
          <w:rStyle w:val="Funotenzeichen"/>
          <w:sz w:val="24"/>
          <w:szCs w:val="24"/>
        </w:rPr>
        <w:footnoteReference w:id="5"/>
      </w:r>
      <w:r>
        <w:rPr>
          <w:sz w:val="24"/>
          <w:szCs w:val="24"/>
        </w:rPr>
        <w:t xml:space="preserve"> der allerdings wegen seiner Judenfreundschaft immer etwas suspekt war.</w:t>
      </w:r>
    </w:p>
    <w:p w:rsidR="00805BEF" w:rsidRPr="00805BEF" w:rsidRDefault="009A03B5" w:rsidP="005A5F9A">
      <w:pPr>
        <w:spacing w:after="0"/>
        <w:ind w:left="1134"/>
        <w:jc w:val="both"/>
        <w:rPr>
          <w:sz w:val="24"/>
          <w:szCs w:val="24"/>
        </w:rPr>
      </w:pPr>
      <w:r>
        <w:rPr>
          <w:sz w:val="24"/>
          <w:szCs w:val="24"/>
        </w:rPr>
        <w:t xml:space="preserve">Ich glaube, </w:t>
      </w:r>
      <w:proofErr w:type="spellStart"/>
      <w:r>
        <w:rPr>
          <w:sz w:val="24"/>
          <w:szCs w:val="24"/>
        </w:rPr>
        <w:t>daß</w:t>
      </w:r>
      <w:proofErr w:type="spellEnd"/>
      <w:r>
        <w:rPr>
          <w:sz w:val="24"/>
          <w:szCs w:val="24"/>
        </w:rPr>
        <w:t xml:space="preserve"> es bei einer Regeneration der sozialdemokratis</w:t>
      </w:r>
      <w:r w:rsidR="00EC6DDE">
        <w:rPr>
          <w:sz w:val="24"/>
          <w:szCs w:val="24"/>
        </w:rPr>
        <w:t>c</w:t>
      </w:r>
      <w:r>
        <w:rPr>
          <w:sz w:val="24"/>
          <w:szCs w:val="24"/>
        </w:rPr>
        <w:t>hen Bewegung notwendig sein wird, auch diese geistige Sei</w:t>
      </w:r>
      <w:r w:rsidR="00A909F0">
        <w:rPr>
          <w:sz w:val="24"/>
          <w:szCs w:val="24"/>
        </w:rPr>
        <w:t>t</w:t>
      </w:r>
      <w:r>
        <w:rPr>
          <w:sz w:val="24"/>
          <w:szCs w:val="24"/>
        </w:rPr>
        <w:t>e nicht zu verschleiern, sondern zu einer wirkli</w:t>
      </w:r>
      <w:r w:rsidR="00EC6DDE">
        <w:rPr>
          <w:sz w:val="24"/>
          <w:szCs w:val="24"/>
        </w:rPr>
        <w:t>c</w:t>
      </w:r>
      <w:r>
        <w:rPr>
          <w:sz w:val="24"/>
          <w:szCs w:val="24"/>
        </w:rPr>
        <w:t xml:space="preserve">hen Klärung zu bringen […]. </w:t>
      </w:r>
      <w:r w:rsidR="00EC6DDE">
        <w:rPr>
          <w:sz w:val="24"/>
          <w:szCs w:val="24"/>
        </w:rPr>
        <w:t>Es handelt sich dabei weniger um uns Juden als um die Sozialisten, die sich leider vor der Ansteckung von Seuchen [gemeint ist der Antisemitismus] so wenig geschützt erwiesen haben.</w:t>
      </w:r>
    </w:p>
    <w:p w:rsidR="00805BEF" w:rsidRDefault="00EC6DDE" w:rsidP="005A5F9A">
      <w:pPr>
        <w:spacing w:after="0"/>
        <w:ind w:left="1134"/>
        <w:jc w:val="both"/>
        <w:rPr>
          <w:sz w:val="24"/>
          <w:szCs w:val="24"/>
        </w:rPr>
      </w:pPr>
      <w:r>
        <w:rPr>
          <w:sz w:val="24"/>
          <w:szCs w:val="24"/>
        </w:rPr>
        <w:t>Mich hat auf diesem und anderen Gebieten die innere Schwäche mehr deprimiert als die Niederlage, die historisch genauso</w:t>
      </w:r>
      <w:r w:rsidR="00A909F0">
        <w:rPr>
          <w:sz w:val="24"/>
          <w:szCs w:val="24"/>
        </w:rPr>
        <w:t xml:space="preserve"> </w:t>
      </w:r>
      <w:r>
        <w:rPr>
          <w:sz w:val="24"/>
          <w:szCs w:val="24"/>
        </w:rPr>
        <w:t xml:space="preserve">wenig gegen die Idee bedeutet, wie der Erfolg der Barbaren für ihren ‚Geist‘ spricht. Und ich bin ein wenig </w:t>
      </w:r>
      <w:proofErr w:type="spellStart"/>
      <w:r>
        <w:rPr>
          <w:sz w:val="24"/>
          <w:szCs w:val="24"/>
        </w:rPr>
        <w:t>mißtrauisch</w:t>
      </w:r>
      <w:proofErr w:type="spellEnd"/>
      <w:r>
        <w:rPr>
          <w:sz w:val="24"/>
          <w:szCs w:val="24"/>
        </w:rPr>
        <w:t xml:space="preserve"> gegen den inneren </w:t>
      </w:r>
      <w:proofErr w:type="spellStart"/>
      <w:r>
        <w:rPr>
          <w:sz w:val="24"/>
          <w:szCs w:val="24"/>
        </w:rPr>
        <w:t>Regenerationsprozeß</w:t>
      </w:r>
      <w:proofErr w:type="spellEnd"/>
      <w:r>
        <w:rPr>
          <w:sz w:val="24"/>
          <w:szCs w:val="24"/>
        </w:rPr>
        <w:t>, wenn er allzu</w:t>
      </w:r>
      <w:r w:rsidR="00A909F0">
        <w:rPr>
          <w:sz w:val="24"/>
          <w:szCs w:val="24"/>
        </w:rPr>
        <w:t xml:space="preserve"> </w:t>
      </w:r>
      <w:r>
        <w:rPr>
          <w:sz w:val="24"/>
          <w:szCs w:val="24"/>
        </w:rPr>
        <w:t xml:space="preserve">sehr darauf beschränkt wird, die äußere ‚Revolution‘ zu kultivieren. Ich persönlich halte sehr wenig von Rachedrohungen und von Analysen, die sich daran delektieren, festzustellen, </w:t>
      </w:r>
      <w:proofErr w:type="spellStart"/>
      <w:r>
        <w:rPr>
          <w:sz w:val="24"/>
          <w:szCs w:val="24"/>
        </w:rPr>
        <w:t>daß</w:t>
      </w:r>
      <w:proofErr w:type="spellEnd"/>
      <w:r>
        <w:rPr>
          <w:sz w:val="24"/>
          <w:szCs w:val="24"/>
        </w:rPr>
        <w:t xml:space="preserve"> auch auf die Historie unserer Tage Marx-Zitate anwendbar sind; ich glaube vie</w:t>
      </w:r>
      <w:r>
        <w:rPr>
          <w:sz w:val="24"/>
          <w:szCs w:val="24"/>
        </w:rPr>
        <w:t>l</w:t>
      </w:r>
      <w:r>
        <w:rPr>
          <w:sz w:val="24"/>
          <w:szCs w:val="24"/>
        </w:rPr>
        <w:t xml:space="preserve">mehr, </w:t>
      </w:r>
      <w:proofErr w:type="spellStart"/>
      <w:r>
        <w:rPr>
          <w:sz w:val="24"/>
          <w:szCs w:val="24"/>
        </w:rPr>
        <w:t>daß</w:t>
      </w:r>
      <w:proofErr w:type="spellEnd"/>
      <w:r>
        <w:rPr>
          <w:sz w:val="24"/>
          <w:szCs w:val="24"/>
        </w:rPr>
        <w:t xml:space="preserve"> es auf lange Sicht darauf ankommt, die freiheitliche und ethische Ko</w:t>
      </w:r>
      <w:r>
        <w:rPr>
          <w:sz w:val="24"/>
          <w:szCs w:val="24"/>
        </w:rPr>
        <w:t>n</w:t>
      </w:r>
      <w:r>
        <w:rPr>
          <w:sz w:val="24"/>
          <w:szCs w:val="24"/>
        </w:rPr>
        <w:t>zeption des Sozialismus zu fundieren und der Barbarei entgegenzustellen.</w:t>
      </w:r>
    </w:p>
    <w:p w:rsidR="00EC6DDE" w:rsidRDefault="00EC6DDE" w:rsidP="005A5F9A">
      <w:pPr>
        <w:spacing w:after="0"/>
        <w:ind w:left="1134"/>
        <w:jc w:val="both"/>
        <w:rPr>
          <w:sz w:val="24"/>
          <w:szCs w:val="24"/>
        </w:rPr>
      </w:pPr>
      <w:r>
        <w:rPr>
          <w:sz w:val="24"/>
          <w:szCs w:val="24"/>
        </w:rPr>
        <w:t xml:space="preserve">Nicht </w:t>
      </w:r>
      <w:proofErr w:type="spellStart"/>
      <w:r>
        <w:rPr>
          <w:sz w:val="24"/>
          <w:szCs w:val="24"/>
        </w:rPr>
        <w:t>daß</w:t>
      </w:r>
      <w:proofErr w:type="spellEnd"/>
      <w:r>
        <w:rPr>
          <w:sz w:val="24"/>
          <w:szCs w:val="24"/>
        </w:rPr>
        <w:t xml:space="preserve"> wir die Bergwerke nicht rechtzeitig verstaatlicht haben oder </w:t>
      </w:r>
      <w:proofErr w:type="spellStart"/>
      <w:r>
        <w:rPr>
          <w:sz w:val="24"/>
          <w:szCs w:val="24"/>
        </w:rPr>
        <w:t>daß</w:t>
      </w:r>
      <w:proofErr w:type="spellEnd"/>
      <w:r>
        <w:rPr>
          <w:sz w:val="24"/>
          <w:szCs w:val="24"/>
        </w:rPr>
        <w:t xml:space="preserve"> wir nicht genügend Gegner umgeb</w:t>
      </w:r>
      <w:r w:rsidR="00A909F0">
        <w:rPr>
          <w:sz w:val="24"/>
          <w:szCs w:val="24"/>
        </w:rPr>
        <w:t>r</w:t>
      </w:r>
      <w:r>
        <w:rPr>
          <w:sz w:val="24"/>
          <w:szCs w:val="24"/>
        </w:rPr>
        <w:t xml:space="preserve">acht haben, war, wie ich glaube, die Hauptquelle unseres Zusammenbruchs, der etwas anderes und vielleicht schlimmeres ist als unsere Niederlage, sondern </w:t>
      </w:r>
      <w:proofErr w:type="spellStart"/>
      <w:r>
        <w:rPr>
          <w:sz w:val="24"/>
          <w:szCs w:val="24"/>
        </w:rPr>
        <w:t>daß</w:t>
      </w:r>
      <w:proofErr w:type="spellEnd"/>
      <w:r>
        <w:rPr>
          <w:sz w:val="24"/>
          <w:szCs w:val="24"/>
        </w:rPr>
        <w:t xml:space="preserve"> es uns nicht gelungen ist, Leidenschaft für Fre</w:t>
      </w:r>
      <w:r>
        <w:rPr>
          <w:sz w:val="24"/>
          <w:szCs w:val="24"/>
        </w:rPr>
        <w:t>i</w:t>
      </w:r>
      <w:r>
        <w:rPr>
          <w:sz w:val="24"/>
          <w:szCs w:val="24"/>
        </w:rPr>
        <w:t>heit und Gerechtigkeit als sozialistische Elemente wach zu halten – weil wir diese Grundelemente bei uns selbst viel zu sehr relativiert haben.</w:t>
      </w:r>
    </w:p>
    <w:p w:rsidR="00EC6DDE" w:rsidRPr="00805BEF" w:rsidRDefault="00EC6DDE" w:rsidP="005A5F9A">
      <w:pPr>
        <w:spacing w:after="0"/>
        <w:ind w:left="1134"/>
        <w:jc w:val="both"/>
        <w:rPr>
          <w:sz w:val="24"/>
          <w:szCs w:val="24"/>
        </w:rPr>
      </w:pPr>
      <w:r>
        <w:rPr>
          <w:sz w:val="24"/>
          <w:szCs w:val="24"/>
        </w:rPr>
        <w:t xml:space="preserve">Diese Auffassung wird bei mir, wie ich zugebe, sehr bestärkt dadurch, </w:t>
      </w:r>
      <w:proofErr w:type="spellStart"/>
      <w:r>
        <w:rPr>
          <w:sz w:val="24"/>
          <w:szCs w:val="24"/>
        </w:rPr>
        <w:t>daß</w:t>
      </w:r>
      <w:proofErr w:type="spellEnd"/>
      <w:r>
        <w:rPr>
          <w:sz w:val="24"/>
          <w:szCs w:val="24"/>
        </w:rPr>
        <w:t xml:space="preserve"> ich bei allem Bemühen, die Grundlagen neu zu überdenken, von meiner reformistischen Auffassung auf dem Gebiet der sozialistischen Ökonomie nicht loskomme und immer das Gefühl habe, </w:t>
      </w:r>
      <w:proofErr w:type="spellStart"/>
      <w:r>
        <w:rPr>
          <w:sz w:val="24"/>
          <w:szCs w:val="24"/>
        </w:rPr>
        <w:t>daß</w:t>
      </w:r>
      <w:proofErr w:type="spellEnd"/>
      <w:r>
        <w:rPr>
          <w:sz w:val="24"/>
          <w:szCs w:val="24"/>
        </w:rPr>
        <w:t xml:space="preserve"> der Radikalismus auf diesem Gebiet ein Luxus ist, den man sich nur im Zustand der völligen Machtlosigkeit leisten kann“.</w:t>
      </w:r>
    </w:p>
    <w:p w:rsidR="00805BEF" w:rsidRDefault="00A909F0" w:rsidP="005A5F9A">
      <w:pPr>
        <w:spacing w:after="0"/>
        <w:jc w:val="both"/>
        <w:rPr>
          <w:sz w:val="24"/>
          <w:szCs w:val="24"/>
        </w:rPr>
      </w:pPr>
      <w:r>
        <w:rPr>
          <w:sz w:val="24"/>
          <w:szCs w:val="24"/>
        </w:rPr>
        <w:t>Fritz Naphtalis Brief an Paul Hertz ist in erster Linie eine Abrechnung mit der Anpassungsb</w:t>
      </w:r>
      <w:r>
        <w:rPr>
          <w:sz w:val="24"/>
          <w:szCs w:val="24"/>
        </w:rPr>
        <w:t>e</w:t>
      </w:r>
      <w:r>
        <w:rPr>
          <w:sz w:val="24"/>
          <w:szCs w:val="24"/>
        </w:rPr>
        <w:t xml:space="preserve">reitschaft </w:t>
      </w:r>
      <w:r w:rsidR="00C307BA">
        <w:rPr>
          <w:sz w:val="24"/>
          <w:szCs w:val="24"/>
        </w:rPr>
        <w:t xml:space="preserve">von Teilen </w:t>
      </w:r>
      <w:r>
        <w:rPr>
          <w:sz w:val="24"/>
          <w:szCs w:val="24"/>
        </w:rPr>
        <w:t>der SPD</w:t>
      </w:r>
      <w:r w:rsidR="00C307BA">
        <w:rPr>
          <w:sz w:val="24"/>
          <w:szCs w:val="24"/>
        </w:rPr>
        <w:t>, speziell von Parteivorstand und Reichstagsfraktion,</w:t>
      </w:r>
      <w:r>
        <w:rPr>
          <w:sz w:val="24"/>
          <w:szCs w:val="24"/>
        </w:rPr>
        <w:t xml:space="preserve"> an den </w:t>
      </w:r>
      <w:r w:rsidR="00C307BA">
        <w:rPr>
          <w:sz w:val="24"/>
          <w:szCs w:val="24"/>
        </w:rPr>
        <w:t>nationalsozialistischen</w:t>
      </w:r>
      <w:r>
        <w:rPr>
          <w:sz w:val="24"/>
          <w:szCs w:val="24"/>
        </w:rPr>
        <w:t xml:space="preserve"> Antisemitismus und damit an die Politik Hitlers.</w:t>
      </w:r>
      <w:r>
        <w:rPr>
          <w:rStyle w:val="Funotenzeichen"/>
          <w:sz w:val="24"/>
          <w:szCs w:val="24"/>
        </w:rPr>
        <w:footnoteReference w:id="6"/>
      </w:r>
      <w:r w:rsidR="006F2A37">
        <w:rPr>
          <w:sz w:val="24"/>
          <w:szCs w:val="24"/>
        </w:rPr>
        <w:t xml:space="preserve"> </w:t>
      </w:r>
      <w:r w:rsidR="00A44170">
        <w:rPr>
          <w:sz w:val="24"/>
          <w:szCs w:val="24"/>
        </w:rPr>
        <w:t xml:space="preserve">Er kritisiert </w:t>
      </w:r>
      <w:r w:rsidR="00C307BA">
        <w:rPr>
          <w:sz w:val="24"/>
          <w:szCs w:val="24"/>
        </w:rPr>
        <w:t>diese Anpassungsbereitschaft als eine</w:t>
      </w:r>
      <w:r w:rsidR="00A44170">
        <w:rPr>
          <w:sz w:val="24"/>
          <w:szCs w:val="24"/>
        </w:rPr>
        <w:t xml:space="preserve"> prinzipienlose, </w:t>
      </w:r>
      <w:r w:rsidR="00C307BA">
        <w:rPr>
          <w:sz w:val="24"/>
          <w:szCs w:val="24"/>
        </w:rPr>
        <w:t>‚</w:t>
      </w:r>
      <w:r w:rsidR="00A44170">
        <w:rPr>
          <w:sz w:val="24"/>
          <w:szCs w:val="24"/>
        </w:rPr>
        <w:t>unethische</w:t>
      </w:r>
      <w:r w:rsidR="00C307BA">
        <w:rPr>
          <w:sz w:val="24"/>
          <w:szCs w:val="24"/>
        </w:rPr>
        <w:t>‘ Politik.</w:t>
      </w:r>
      <w:r w:rsidR="00A44170">
        <w:rPr>
          <w:sz w:val="24"/>
          <w:szCs w:val="24"/>
        </w:rPr>
        <w:t xml:space="preserve"> </w:t>
      </w:r>
      <w:r w:rsidR="00472F58">
        <w:rPr>
          <w:sz w:val="24"/>
          <w:szCs w:val="24"/>
        </w:rPr>
        <w:t>Wenn Naphtali von „j</w:t>
      </w:r>
      <w:r w:rsidR="00472F58">
        <w:rPr>
          <w:sz w:val="24"/>
          <w:szCs w:val="24"/>
        </w:rPr>
        <w:t>e</w:t>
      </w:r>
      <w:r w:rsidR="00472F58">
        <w:rPr>
          <w:sz w:val="24"/>
          <w:szCs w:val="24"/>
        </w:rPr>
        <w:t>ner verhängnisvollen Juni-Sitzung“ spricht, „die eine Mehrheitsentscheidung für Hitler brac</w:t>
      </w:r>
      <w:r w:rsidR="00472F58">
        <w:rPr>
          <w:sz w:val="24"/>
          <w:szCs w:val="24"/>
        </w:rPr>
        <w:t>h</w:t>
      </w:r>
      <w:r w:rsidR="00472F58">
        <w:rPr>
          <w:sz w:val="24"/>
          <w:szCs w:val="24"/>
        </w:rPr>
        <w:t>te“, bezieht er sich vermutlich auf die Sitzung vom 10. Juni des in Berlin verbliebenen</w:t>
      </w:r>
      <w:r w:rsidR="00C307BA">
        <w:rPr>
          <w:sz w:val="24"/>
          <w:szCs w:val="24"/>
        </w:rPr>
        <w:t>,</w:t>
      </w:r>
      <w:r w:rsidR="00472F58">
        <w:rPr>
          <w:sz w:val="24"/>
          <w:szCs w:val="24"/>
        </w:rPr>
        <w:t xml:space="preserve"> </w:t>
      </w:r>
      <w:r w:rsidR="00C307BA">
        <w:rPr>
          <w:sz w:val="24"/>
          <w:szCs w:val="24"/>
        </w:rPr>
        <w:t xml:space="preserve">noch in Freiheit befindlichen </w:t>
      </w:r>
      <w:r w:rsidR="00472F58">
        <w:rPr>
          <w:sz w:val="24"/>
          <w:szCs w:val="24"/>
        </w:rPr>
        <w:t>Teils der Reichstagsfraktion</w:t>
      </w:r>
      <w:r w:rsidR="00C307BA">
        <w:rPr>
          <w:sz w:val="24"/>
          <w:szCs w:val="24"/>
        </w:rPr>
        <w:t>. Auf dieser Sitzung wurde dem Prager Parteivorstand das Recht abgesprochen, sich als SPD-Vorstand zu äußern.</w:t>
      </w:r>
      <w:r w:rsidR="00472F58">
        <w:rPr>
          <w:sz w:val="24"/>
          <w:szCs w:val="24"/>
        </w:rPr>
        <w:t xml:space="preserve"> </w:t>
      </w:r>
    </w:p>
    <w:p w:rsidR="00A44170" w:rsidRDefault="00C307BA" w:rsidP="005A5F9A">
      <w:pPr>
        <w:spacing w:after="0"/>
        <w:jc w:val="both"/>
        <w:rPr>
          <w:sz w:val="24"/>
          <w:szCs w:val="24"/>
        </w:rPr>
      </w:pPr>
      <w:r>
        <w:rPr>
          <w:sz w:val="24"/>
          <w:szCs w:val="24"/>
        </w:rPr>
        <w:lastRenderedPageBreak/>
        <w:tab/>
        <w:t xml:space="preserve">Von entscheidender Bedeutung ist für Naphtali, dass auf dieser Sitzung </w:t>
      </w:r>
      <w:r w:rsidR="00C33728">
        <w:rPr>
          <w:sz w:val="24"/>
          <w:szCs w:val="24"/>
        </w:rPr>
        <w:t xml:space="preserve">anscheinend </w:t>
      </w:r>
      <w:r>
        <w:rPr>
          <w:sz w:val="24"/>
          <w:szCs w:val="24"/>
        </w:rPr>
        <w:t>offen mit antisemitischen Argumenten operiert wurde</w:t>
      </w:r>
      <w:r w:rsidR="003A56C5">
        <w:rPr>
          <w:sz w:val="24"/>
          <w:szCs w:val="24"/>
        </w:rPr>
        <w:t xml:space="preserve">. Ebenso weist er darauf hin, dass </w:t>
      </w:r>
      <w:r w:rsidR="00C33728">
        <w:rPr>
          <w:sz w:val="24"/>
          <w:szCs w:val="24"/>
        </w:rPr>
        <w:t xml:space="preserve">für die Führung des Allgemeinen Deutschen Gewerkschaftsbundes </w:t>
      </w:r>
      <w:r w:rsidR="003A56C5">
        <w:rPr>
          <w:sz w:val="24"/>
          <w:szCs w:val="24"/>
        </w:rPr>
        <w:t>der Antisemitismus der NSDAP offensichtlich kein prinzipielles Hindernis für eine Verständigung mit Hitler bildete. In U</w:t>
      </w:r>
      <w:r w:rsidR="003A56C5">
        <w:rPr>
          <w:sz w:val="24"/>
          <w:szCs w:val="24"/>
        </w:rPr>
        <w:t>n</w:t>
      </w:r>
      <w:r w:rsidR="003A56C5">
        <w:rPr>
          <w:sz w:val="24"/>
          <w:szCs w:val="24"/>
        </w:rPr>
        <w:t>terorganisationen der SPD wie den „Kinderfreunden“ wurden, so Naphtalis Information, um das Fortbestehen der Organisation zu ermöglichen, jüdische Jugendliche angehalten, „freiwi</w:t>
      </w:r>
      <w:r w:rsidR="003A56C5">
        <w:rPr>
          <w:sz w:val="24"/>
          <w:szCs w:val="24"/>
        </w:rPr>
        <w:t>l</w:t>
      </w:r>
      <w:r w:rsidR="003A56C5">
        <w:rPr>
          <w:sz w:val="24"/>
          <w:szCs w:val="24"/>
        </w:rPr>
        <w:t>lig auszutreten“. Für Naphtali ergibt sich daraus, dass die SPD versagt hat, zumindest im e</w:t>
      </w:r>
      <w:r w:rsidR="003A56C5">
        <w:rPr>
          <w:sz w:val="24"/>
          <w:szCs w:val="24"/>
        </w:rPr>
        <w:t>i</w:t>
      </w:r>
      <w:r w:rsidR="003A56C5">
        <w:rPr>
          <w:sz w:val="24"/>
          <w:szCs w:val="24"/>
        </w:rPr>
        <w:t>genen organisatorischen Bereich („für sich allein“) „das Problem des Lebens der Juden in der nichtjüdischen Umwelt zu lösen“.</w:t>
      </w:r>
    </w:p>
    <w:p w:rsidR="00A44170" w:rsidRDefault="00A44170" w:rsidP="005A5F9A">
      <w:pPr>
        <w:spacing w:after="0"/>
        <w:jc w:val="both"/>
        <w:rPr>
          <w:sz w:val="24"/>
          <w:szCs w:val="24"/>
        </w:rPr>
      </w:pPr>
    </w:p>
    <w:p w:rsidR="0065694B" w:rsidRDefault="009F592A" w:rsidP="005A5F9A">
      <w:pPr>
        <w:spacing w:after="0"/>
        <w:jc w:val="both"/>
        <w:rPr>
          <w:sz w:val="24"/>
          <w:szCs w:val="24"/>
        </w:rPr>
      </w:pPr>
      <w:r>
        <w:rPr>
          <w:sz w:val="24"/>
          <w:szCs w:val="24"/>
        </w:rPr>
        <w:tab/>
        <w:t xml:space="preserve">Naphtalis Brief wirft ein grundsätzliches Problem auf. Er zeigt, dass Teile der deutsch-jüdischen Bevölkerungsgruppe sich den sozialistischen Parteien angeschlossen hatten, weil sie </w:t>
      </w:r>
      <w:r w:rsidR="0065694B">
        <w:rPr>
          <w:sz w:val="24"/>
          <w:szCs w:val="24"/>
        </w:rPr>
        <w:t>aufgrund der weltanschaulichen Ausrichtung dieser Parteien davon ausgegangen war</w:t>
      </w:r>
      <w:r>
        <w:rPr>
          <w:sz w:val="24"/>
          <w:szCs w:val="24"/>
        </w:rPr>
        <w:t xml:space="preserve">en, dass hier „das Problem des Lebens der Juden in der nichtjüdischen Umwelt“ einer Lösung zugeführt werde. Mit dem Scheitern dieser Hoffnung verloren die sozialistischen Parteien deshalb in einem zentralen Bereich </w:t>
      </w:r>
      <w:r w:rsidR="00C33728">
        <w:rPr>
          <w:sz w:val="24"/>
          <w:szCs w:val="24"/>
        </w:rPr>
        <w:t>ihres sozialpolitischen Selbstverständnisses di</w:t>
      </w:r>
      <w:r>
        <w:rPr>
          <w:sz w:val="24"/>
          <w:szCs w:val="24"/>
        </w:rPr>
        <w:t>e Glau</w:t>
      </w:r>
      <w:r>
        <w:rPr>
          <w:sz w:val="24"/>
          <w:szCs w:val="24"/>
        </w:rPr>
        <w:t>b</w:t>
      </w:r>
      <w:r>
        <w:rPr>
          <w:sz w:val="24"/>
          <w:szCs w:val="24"/>
        </w:rPr>
        <w:t xml:space="preserve">würdigkeit und – als möglicherweise schwerwiegendere Folge – ihre </w:t>
      </w:r>
      <w:r w:rsidR="0065694B">
        <w:rPr>
          <w:sz w:val="24"/>
          <w:szCs w:val="24"/>
        </w:rPr>
        <w:t xml:space="preserve">politische </w:t>
      </w:r>
      <w:r>
        <w:rPr>
          <w:sz w:val="24"/>
          <w:szCs w:val="24"/>
        </w:rPr>
        <w:t>Bindungsf</w:t>
      </w:r>
      <w:r>
        <w:rPr>
          <w:sz w:val="24"/>
          <w:szCs w:val="24"/>
        </w:rPr>
        <w:t>ä</w:t>
      </w:r>
      <w:r>
        <w:rPr>
          <w:sz w:val="24"/>
          <w:szCs w:val="24"/>
        </w:rPr>
        <w:t>higkeit</w:t>
      </w:r>
      <w:r w:rsidR="00AD3AB0">
        <w:rPr>
          <w:sz w:val="24"/>
          <w:szCs w:val="24"/>
        </w:rPr>
        <w:t xml:space="preserve"> und Überzeugungskraft</w:t>
      </w:r>
      <w:r>
        <w:rPr>
          <w:sz w:val="24"/>
          <w:szCs w:val="24"/>
        </w:rPr>
        <w:t xml:space="preserve">. </w:t>
      </w:r>
      <w:r w:rsidR="0065694B">
        <w:rPr>
          <w:sz w:val="24"/>
          <w:szCs w:val="24"/>
        </w:rPr>
        <w:t xml:space="preserve">Naphtalis Brief </w:t>
      </w:r>
      <w:r w:rsidR="0053334A">
        <w:rPr>
          <w:sz w:val="24"/>
          <w:szCs w:val="24"/>
        </w:rPr>
        <w:t>ist ein Zeugnis wachsender Distanz gege</w:t>
      </w:r>
      <w:r w:rsidR="0053334A">
        <w:rPr>
          <w:sz w:val="24"/>
          <w:szCs w:val="24"/>
        </w:rPr>
        <w:t>n</w:t>
      </w:r>
      <w:r w:rsidR="0053334A">
        <w:rPr>
          <w:sz w:val="24"/>
          <w:szCs w:val="24"/>
        </w:rPr>
        <w:t>über den nichtjüdischen politischen Freunden.</w:t>
      </w:r>
      <w:r w:rsidR="0065694B">
        <w:rPr>
          <w:sz w:val="24"/>
          <w:szCs w:val="24"/>
        </w:rPr>
        <w:t xml:space="preserve"> </w:t>
      </w:r>
      <w:r w:rsidR="005B4211">
        <w:rPr>
          <w:sz w:val="24"/>
          <w:szCs w:val="24"/>
        </w:rPr>
        <w:t>De</w:t>
      </w:r>
      <w:r w:rsidR="00C33728">
        <w:rPr>
          <w:sz w:val="24"/>
          <w:szCs w:val="24"/>
        </w:rPr>
        <w:t>n</w:t>
      </w:r>
      <w:r w:rsidR="005B4211">
        <w:rPr>
          <w:sz w:val="24"/>
          <w:szCs w:val="24"/>
        </w:rPr>
        <w:t xml:space="preserve"> sozialistischen Parteien war es </w:t>
      </w:r>
      <w:r w:rsidR="0065694B">
        <w:rPr>
          <w:sz w:val="24"/>
          <w:szCs w:val="24"/>
        </w:rPr>
        <w:t>– so das Urteil von Naphtali – n</w:t>
      </w:r>
      <w:r w:rsidR="005B4211">
        <w:rPr>
          <w:sz w:val="24"/>
          <w:szCs w:val="24"/>
        </w:rPr>
        <w:t xml:space="preserve">icht gelungen, die „Leidenschaft für Freiheit und Gerechtigkeit als sozialistische Elemente wach zu halten“. </w:t>
      </w:r>
      <w:r w:rsidR="0053334A">
        <w:rPr>
          <w:sz w:val="24"/>
          <w:szCs w:val="24"/>
        </w:rPr>
        <w:t>Das ist ein Verdikt, dessen Tragweite die sozialist</w:t>
      </w:r>
      <w:r w:rsidR="0053334A">
        <w:rPr>
          <w:sz w:val="24"/>
          <w:szCs w:val="24"/>
        </w:rPr>
        <w:t>i</w:t>
      </w:r>
      <w:r w:rsidR="0053334A">
        <w:rPr>
          <w:sz w:val="24"/>
          <w:szCs w:val="24"/>
        </w:rPr>
        <w:t>schen Parteien nicht einmal im Ansatz erkannten.</w:t>
      </w:r>
    </w:p>
    <w:p w:rsidR="00A44170" w:rsidRDefault="005B4211" w:rsidP="005A5F9A">
      <w:pPr>
        <w:spacing w:after="0"/>
        <w:ind w:firstLine="708"/>
        <w:jc w:val="both"/>
        <w:rPr>
          <w:sz w:val="24"/>
          <w:szCs w:val="24"/>
        </w:rPr>
      </w:pPr>
      <w:r>
        <w:rPr>
          <w:sz w:val="24"/>
          <w:szCs w:val="24"/>
        </w:rPr>
        <w:t>D</w:t>
      </w:r>
      <w:r w:rsidR="0065694B">
        <w:rPr>
          <w:sz w:val="24"/>
          <w:szCs w:val="24"/>
        </w:rPr>
        <w:t>iese Enttäuschung</w:t>
      </w:r>
      <w:r>
        <w:rPr>
          <w:sz w:val="24"/>
          <w:szCs w:val="24"/>
        </w:rPr>
        <w:t xml:space="preserve"> macht es verständlich, </w:t>
      </w:r>
      <w:r w:rsidR="00C33728">
        <w:rPr>
          <w:sz w:val="24"/>
          <w:szCs w:val="24"/>
        </w:rPr>
        <w:t>weshalb</w:t>
      </w:r>
      <w:r>
        <w:rPr>
          <w:sz w:val="24"/>
          <w:szCs w:val="24"/>
        </w:rPr>
        <w:t xml:space="preserve"> das „jüdische Exil“ sich </w:t>
      </w:r>
      <w:r w:rsidR="0065694B">
        <w:rPr>
          <w:sz w:val="24"/>
          <w:szCs w:val="24"/>
        </w:rPr>
        <w:t>zum überwiegenden Teil in anderen Strukturen organisierte als das „politische Exil“</w:t>
      </w:r>
      <w:r w:rsidR="00C33728">
        <w:rPr>
          <w:sz w:val="24"/>
          <w:szCs w:val="24"/>
        </w:rPr>
        <w:t>,</w:t>
      </w:r>
      <w:r>
        <w:rPr>
          <w:sz w:val="24"/>
          <w:szCs w:val="24"/>
        </w:rPr>
        <w:t xml:space="preserve"> ebenso, dass es zu keiner Kooperation oder Verständigung über eine gemeinsame Strategie kam, obwohl dies aus einer Vielzahl von Gründen naheliegend und zweckmäßig gewesen wäre. </w:t>
      </w:r>
      <w:r w:rsidR="0053334A">
        <w:rPr>
          <w:sz w:val="24"/>
          <w:szCs w:val="24"/>
        </w:rPr>
        <w:t>Dass Nap</w:t>
      </w:r>
      <w:r w:rsidR="0053334A">
        <w:rPr>
          <w:sz w:val="24"/>
          <w:szCs w:val="24"/>
        </w:rPr>
        <w:t>h</w:t>
      </w:r>
      <w:r w:rsidR="0053334A">
        <w:rPr>
          <w:sz w:val="24"/>
          <w:szCs w:val="24"/>
        </w:rPr>
        <w:t>tali, der engagierte Sozialist, diesen Sachverhalt klar und offen artikuliert, ist eine Ausnahme</w:t>
      </w:r>
      <w:r w:rsidR="00C33728">
        <w:rPr>
          <w:sz w:val="24"/>
          <w:szCs w:val="24"/>
        </w:rPr>
        <w:t xml:space="preserve"> im Diskurs des politischen Exils</w:t>
      </w:r>
      <w:r w:rsidR="0053334A">
        <w:rPr>
          <w:sz w:val="24"/>
          <w:szCs w:val="24"/>
        </w:rPr>
        <w:t xml:space="preserve">. </w:t>
      </w:r>
      <w:r w:rsidR="00AD3AB0">
        <w:rPr>
          <w:sz w:val="24"/>
          <w:szCs w:val="24"/>
        </w:rPr>
        <w:t>Der Widerspruch zwischen der Programmatik und der Real</w:t>
      </w:r>
      <w:r w:rsidR="00AD3AB0">
        <w:rPr>
          <w:sz w:val="24"/>
          <w:szCs w:val="24"/>
        </w:rPr>
        <w:t>i</w:t>
      </w:r>
      <w:r w:rsidR="00AD3AB0">
        <w:rPr>
          <w:sz w:val="24"/>
          <w:szCs w:val="24"/>
        </w:rPr>
        <w:t xml:space="preserve">tät des politischen Agierens, den Naphtali entspricht, ist im Übrigen </w:t>
      </w:r>
      <w:r w:rsidR="00C33728">
        <w:rPr>
          <w:sz w:val="24"/>
          <w:szCs w:val="24"/>
        </w:rPr>
        <w:t xml:space="preserve">auch </w:t>
      </w:r>
      <w:r w:rsidR="00AD3AB0">
        <w:rPr>
          <w:sz w:val="24"/>
          <w:szCs w:val="24"/>
        </w:rPr>
        <w:t>nicht erst ein Resu</w:t>
      </w:r>
      <w:r w:rsidR="00AD3AB0">
        <w:rPr>
          <w:sz w:val="24"/>
          <w:szCs w:val="24"/>
        </w:rPr>
        <w:t>l</w:t>
      </w:r>
      <w:r w:rsidR="00AD3AB0">
        <w:rPr>
          <w:sz w:val="24"/>
          <w:szCs w:val="24"/>
        </w:rPr>
        <w:t>tat der politischen Krise des Jahres 1933, sondern er hatte</w:t>
      </w:r>
      <w:r w:rsidR="00C33728">
        <w:rPr>
          <w:sz w:val="24"/>
          <w:szCs w:val="24"/>
        </w:rPr>
        <w:t>, wie Naphtali indirekt mit dem Hinweis auf Staudingers „Judenfreundschaft“, die „</w:t>
      </w:r>
      <w:r w:rsidR="00AD3AB0">
        <w:rPr>
          <w:sz w:val="24"/>
          <w:szCs w:val="24"/>
        </w:rPr>
        <w:t>schon</w:t>
      </w:r>
      <w:r w:rsidR="00C33728">
        <w:rPr>
          <w:sz w:val="24"/>
          <w:szCs w:val="24"/>
        </w:rPr>
        <w:t xml:space="preserve"> immer etwas suspekt war“, ande</w:t>
      </w:r>
      <w:r w:rsidR="00C33728">
        <w:rPr>
          <w:sz w:val="24"/>
          <w:szCs w:val="24"/>
        </w:rPr>
        <w:t>u</w:t>
      </w:r>
      <w:r w:rsidR="00C33728">
        <w:rPr>
          <w:sz w:val="24"/>
          <w:szCs w:val="24"/>
        </w:rPr>
        <w:t xml:space="preserve">tet, </w:t>
      </w:r>
      <w:r w:rsidR="00AD3AB0">
        <w:rPr>
          <w:sz w:val="24"/>
          <w:szCs w:val="24"/>
        </w:rPr>
        <w:t>lange vorher</w:t>
      </w:r>
      <w:r w:rsidR="001E0EF0">
        <w:rPr>
          <w:sz w:val="24"/>
          <w:szCs w:val="24"/>
        </w:rPr>
        <w:t xml:space="preserve"> bereits</w:t>
      </w:r>
      <w:r w:rsidR="00AD3AB0">
        <w:rPr>
          <w:sz w:val="24"/>
          <w:szCs w:val="24"/>
        </w:rPr>
        <w:t xml:space="preserve"> – </w:t>
      </w:r>
      <w:r w:rsidR="001E0EF0">
        <w:rPr>
          <w:sz w:val="24"/>
          <w:szCs w:val="24"/>
        </w:rPr>
        <w:t xml:space="preserve">offen wie </w:t>
      </w:r>
      <w:r w:rsidR="00AD3AB0">
        <w:rPr>
          <w:sz w:val="24"/>
          <w:szCs w:val="24"/>
        </w:rPr>
        <w:t xml:space="preserve">latent – bestanden. </w:t>
      </w:r>
    </w:p>
    <w:bookmarkEnd w:id="0"/>
    <w:p w:rsidR="00A44170" w:rsidRDefault="00A44170" w:rsidP="005A5F9A">
      <w:pPr>
        <w:spacing w:after="0"/>
        <w:jc w:val="both"/>
        <w:rPr>
          <w:sz w:val="24"/>
          <w:szCs w:val="24"/>
        </w:rPr>
      </w:pPr>
    </w:p>
    <w:sectPr w:rsidR="00A44170" w:rsidSect="0073103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DFE" w:rsidRDefault="00505DFE" w:rsidP="00805BEF">
      <w:pPr>
        <w:spacing w:after="0" w:line="240" w:lineRule="auto"/>
      </w:pPr>
      <w:r>
        <w:separator/>
      </w:r>
    </w:p>
  </w:endnote>
  <w:endnote w:type="continuationSeparator" w:id="0">
    <w:p w:rsidR="00505DFE" w:rsidRDefault="00505DFE" w:rsidP="00805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DFE" w:rsidRDefault="00505DFE" w:rsidP="00805BEF">
      <w:pPr>
        <w:spacing w:after="0" w:line="240" w:lineRule="auto"/>
      </w:pPr>
      <w:r>
        <w:separator/>
      </w:r>
    </w:p>
  </w:footnote>
  <w:footnote w:type="continuationSeparator" w:id="0">
    <w:p w:rsidR="00505DFE" w:rsidRDefault="00505DFE" w:rsidP="00805BEF">
      <w:pPr>
        <w:spacing w:after="0" w:line="240" w:lineRule="auto"/>
      </w:pPr>
      <w:r>
        <w:continuationSeparator/>
      </w:r>
    </w:p>
  </w:footnote>
  <w:footnote w:id="1">
    <w:p w:rsidR="0053334A" w:rsidRDefault="0053334A" w:rsidP="00D82578">
      <w:pPr>
        <w:spacing w:after="0" w:line="240" w:lineRule="auto"/>
      </w:pPr>
      <w:r>
        <w:rPr>
          <w:rStyle w:val="Funotenzeichen"/>
        </w:rPr>
        <w:footnoteRef/>
      </w:r>
      <w:r>
        <w:t xml:space="preserve"> Zur Biografie von Fritz (Perez bzw. </w:t>
      </w:r>
      <w:proofErr w:type="spellStart"/>
      <w:r>
        <w:t>Peretz</w:t>
      </w:r>
      <w:proofErr w:type="spellEnd"/>
      <w:r>
        <w:t xml:space="preserve">) Naphtali und Paul Hertz vgl. </w:t>
      </w:r>
      <w:r>
        <w:rPr>
          <w:i/>
        </w:rPr>
        <w:t>Biographisches Handbuch der deutschsprachigen Emigration nach 1933.</w:t>
      </w:r>
      <w:r>
        <w:t xml:space="preserve"> Hrsg. von Werner Röder und Herbert A. </w:t>
      </w:r>
      <w:proofErr w:type="spellStart"/>
      <w:r>
        <w:t>Strauss</w:t>
      </w:r>
      <w:proofErr w:type="spellEnd"/>
      <w:r>
        <w:t>. Bd. I. München [u.a.] 1980.</w:t>
      </w:r>
      <w:r w:rsidR="006D31CA" w:rsidRPr="006D31CA">
        <w:t xml:space="preserve"> </w:t>
      </w:r>
      <w:r w:rsidR="006D31CA">
        <w:t xml:space="preserve">– Zur Rolle von Paul Hertz im Exil vgl. Ursula Langkau-Alex: „Es gilt, die Menschen zu ändern…“. Zur Politik des Sozialdemokraten Paul Hertz im Exil. In: </w:t>
      </w:r>
      <w:r w:rsidR="006D31CA">
        <w:rPr>
          <w:i/>
        </w:rPr>
        <w:t>Exilforschung</w:t>
      </w:r>
      <w:r w:rsidR="006D31CA">
        <w:t xml:space="preserve"> 8 (1990), S. 142 – 156.</w:t>
      </w:r>
    </w:p>
  </w:footnote>
  <w:footnote w:id="2">
    <w:p w:rsidR="00E64627" w:rsidRDefault="00E64627">
      <w:pPr>
        <w:pStyle w:val="Funotentext"/>
      </w:pPr>
      <w:r>
        <w:rPr>
          <w:rStyle w:val="Funotenzeichen"/>
        </w:rPr>
        <w:footnoteRef/>
      </w:r>
      <w:r>
        <w:t xml:space="preserve"> Noch bevor das Verbot der SPD erfolgte, war die Tendenz zur Selbstauflösung bereits deutlich erkennbar. Vgl. Ludolf Herbst: </w:t>
      </w:r>
      <w:r w:rsidRPr="00E64627">
        <w:rPr>
          <w:i/>
        </w:rPr>
        <w:t>Das nationalsozialistische Deutschland</w:t>
      </w:r>
      <w:r>
        <w:t>, S. 70.</w:t>
      </w:r>
    </w:p>
  </w:footnote>
  <w:footnote w:id="3">
    <w:p w:rsidR="0053334A" w:rsidRPr="0074772D" w:rsidRDefault="0053334A">
      <w:pPr>
        <w:pStyle w:val="Funotentext"/>
      </w:pPr>
      <w:r>
        <w:rPr>
          <w:rStyle w:val="Funotenzeichen"/>
        </w:rPr>
        <w:footnoteRef/>
      </w:r>
      <w:r>
        <w:t xml:space="preserve"> Abgedruckt in: </w:t>
      </w:r>
      <w:r>
        <w:rPr>
          <w:i/>
        </w:rPr>
        <w:t>Sie flohen vor dem Hakenkreuz.</w:t>
      </w:r>
      <w:r>
        <w:t xml:space="preserve"> Selbstzeugnisse der Emigranten. Ein Lesebuch für Deutsche. Hrsg. von Walter Zadek. Reinbek 1981, S. 43 – 35. Das Original des Briefes befindet sich im Internationalen Institut für Sozialgeschichte in Amsterdam.</w:t>
      </w:r>
    </w:p>
  </w:footnote>
  <w:footnote w:id="4">
    <w:p w:rsidR="0053334A" w:rsidRDefault="0053334A">
      <w:pPr>
        <w:pStyle w:val="Funotentext"/>
      </w:pPr>
      <w:r>
        <w:rPr>
          <w:rStyle w:val="Funotenzeichen"/>
        </w:rPr>
        <w:footnoteRef/>
      </w:r>
      <w:r>
        <w:t xml:space="preserve"> Hier ist die „Reichsarbeitsgemeinschaft der Kinderfreunde“ gemeint. Es handelt sich um eine Untergliederung der SPD. </w:t>
      </w:r>
      <w:r w:rsidR="006D31CA">
        <w:t>Ihr</w:t>
      </w:r>
      <w:r>
        <w:t xml:space="preserve">e Funktionäre waren Mitglieder der SPD, der SAJ, der Arbeiterwohlfahrt und der Gewerkschaften. Die Nachfolgeorganisation </w:t>
      </w:r>
      <w:r w:rsidR="006D31CA">
        <w:t>ist die heutige Jugendorganisation der SPD</w:t>
      </w:r>
      <w:r>
        <w:t xml:space="preserve"> „Die Falken“. – </w:t>
      </w:r>
      <w:r w:rsidR="006D31CA">
        <w:t>Mit dem Hinweis auf „</w:t>
      </w:r>
      <w:proofErr w:type="spellStart"/>
      <w:r w:rsidR="006D31CA">
        <w:t>Eichkamp</w:t>
      </w:r>
      <w:proofErr w:type="spellEnd"/>
      <w:r w:rsidR="006D31CA">
        <w:t xml:space="preserve">“ nimmt </w:t>
      </w:r>
      <w:r>
        <w:t>Naphtali offensichtlich Bezug auf ein Heim der „Kinderfreund</w:t>
      </w:r>
      <w:r w:rsidR="006D31CA">
        <w:t>e</w:t>
      </w:r>
      <w:r>
        <w:t>“ in Berlin-</w:t>
      </w:r>
      <w:proofErr w:type="spellStart"/>
      <w:r>
        <w:t>Eichkamp</w:t>
      </w:r>
      <w:proofErr w:type="spellEnd"/>
      <w:r>
        <w:t>.</w:t>
      </w:r>
    </w:p>
  </w:footnote>
  <w:footnote w:id="5">
    <w:p w:rsidR="0053334A" w:rsidRPr="00D82578" w:rsidRDefault="0053334A" w:rsidP="009A03B5">
      <w:pPr>
        <w:pStyle w:val="Funotentext"/>
        <w:rPr>
          <w:i/>
        </w:rPr>
      </w:pPr>
      <w:r>
        <w:rPr>
          <w:rStyle w:val="Funotenzeichen"/>
        </w:rPr>
        <w:footnoteRef/>
      </w:r>
      <w:r>
        <w:t xml:space="preserve"> Fritz Naphtali war im Mai 1933 von der Gestapo verhaftet worden. </w:t>
      </w:r>
      <w:r w:rsidR="006D31CA">
        <w:t>Mit einem waghalsigen Täuschungsman</w:t>
      </w:r>
      <w:r w:rsidR="006D31CA">
        <w:t>ö</w:t>
      </w:r>
      <w:r w:rsidR="006D31CA">
        <w:t xml:space="preserve">ver gelang </w:t>
      </w:r>
      <w:r>
        <w:t>es seinem Freund Hans Staudinger, d</w:t>
      </w:r>
      <w:r w:rsidR="006D31CA">
        <w:t>ass</w:t>
      </w:r>
      <w:r>
        <w:t xml:space="preserve"> Naphtali aus der Haft </w:t>
      </w:r>
      <w:r w:rsidR="006D31CA">
        <w:t>wieder</w:t>
      </w:r>
      <w:r>
        <w:t xml:space="preserve"> entlassen</w:t>
      </w:r>
      <w:r w:rsidR="006D31CA">
        <w:t xml:space="preserve"> wurde</w:t>
      </w:r>
      <w:r>
        <w:t xml:space="preserve">. – Zur Person von Staudinger vgl. ebenfalls das </w:t>
      </w:r>
      <w:r>
        <w:rPr>
          <w:i/>
        </w:rPr>
        <w:t>Biographische Handbuch.</w:t>
      </w:r>
    </w:p>
  </w:footnote>
  <w:footnote w:id="6">
    <w:p w:rsidR="0053334A" w:rsidRPr="006F2A37" w:rsidRDefault="0053334A" w:rsidP="006F2A37">
      <w:pPr>
        <w:spacing w:after="0" w:line="240" w:lineRule="auto"/>
      </w:pPr>
      <w:r>
        <w:rPr>
          <w:rStyle w:val="Funotenzeichen"/>
        </w:rPr>
        <w:footnoteRef/>
      </w:r>
      <w:r>
        <w:t xml:space="preserve"> Patrik von zur Mühlen spricht davon, dass die SPD im Mai/Juni 1933 „in mehreren Fällen“ der Versuchung erlag, „das drohende Ende der Partei durch Wohlwollen und Anpassung hinauszuzögern“. Hierzu führt er als Beispiele die sozialdemokratische Zustimmung zu Hitlers Regierungserklärung vom 17. Mai 1933, der vorgebl</w:t>
      </w:r>
      <w:r>
        <w:t>i</w:t>
      </w:r>
      <w:r>
        <w:t>chen „Friedensresolution“, an, die Versuche, die Schwesterparteien des Auslandes und an der Saar zur Mäßigung ihrer Kritik am NS-Regime zu bewegen, und den Austritt der SPD aus der Sozialistischen Arbeiterinternation</w:t>
      </w:r>
      <w:r>
        <w:t>a</w:t>
      </w:r>
      <w:r>
        <w:t xml:space="preserve">len. </w:t>
      </w:r>
      <w:r w:rsidR="00230A89">
        <w:t xml:space="preserve">Am 19. Juni 1933 wird den Emigranten das politische Mandat abgesprochen. </w:t>
      </w:r>
      <w:r>
        <w:t xml:space="preserve">Vgl. </w:t>
      </w:r>
      <w:r w:rsidRPr="006F2A37">
        <w:t xml:space="preserve">Patrik von zur Mühlen: Die SPD zwischen Anpassung und Widerstand. – In: </w:t>
      </w:r>
      <w:r w:rsidRPr="006F2A37">
        <w:rPr>
          <w:i/>
        </w:rPr>
        <w:t>Der Widerstand gegen den Nationalsozialismus.</w:t>
      </w:r>
      <w:r w:rsidRPr="006F2A37">
        <w:t xml:space="preserve"> Die deu</w:t>
      </w:r>
      <w:r w:rsidRPr="006F2A37">
        <w:t>t</w:t>
      </w:r>
      <w:r w:rsidRPr="006F2A37">
        <w:t xml:space="preserve">sche Gesellschaft und der Widerstand gegen Hitler. Hrsg. von Jürgen </w:t>
      </w:r>
      <w:proofErr w:type="spellStart"/>
      <w:r w:rsidRPr="006F2A37">
        <w:t>Schmädeke</w:t>
      </w:r>
      <w:proofErr w:type="spellEnd"/>
      <w:r w:rsidRPr="006F2A37">
        <w:t xml:space="preserve"> u. Peter Steinbach. Mü</w:t>
      </w:r>
      <w:r w:rsidRPr="006F2A37">
        <w:t>n</w:t>
      </w:r>
      <w:r w:rsidRPr="006F2A37">
        <w:t>chen/Zürich 1994</w:t>
      </w:r>
      <w:r>
        <w:t>, S. 86 – 98, hier S. 94.</w:t>
      </w:r>
    </w:p>
    <w:p w:rsidR="0053334A" w:rsidRDefault="0053334A">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2251"/>
      <w:docPartObj>
        <w:docPartGallery w:val="Page Numbers (Top of Page)"/>
        <w:docPartUnique/>
      </w:docPartObj>
    </w:sdtPr>
    <w:sdtEndPr/>
    <w:sdtContent>
      <w:p w:rsidR="0053334A" w:rsidRDefault="00505DFE">
        <w:pPr>
          <w:pStyle w:val="Kopfzeile"/>
          <w:jc w:val="right"/>
        </w:pPr>
        <w:r>
          <w:fldChar w:fldCharType="begin"/>
        </w:r>
        <w:r>
          <w:instrText xml:space="preserve"> PAGE   \* MERGEFORMAT </w:instrText>
        </w:r>
        <w:r>
          <w:fldChar w:fldCharType="separate"/>
        </w:r>
        <w:r w:rsidR="005A5F9A">
          <w:rPr>
            <w:noProof/>
          </w:rPr>
          <w:t>3</w:t>
        </w:r>
        <w:r>
          <w:rPr>
            <w:noProof/>
          </w:rPr>
          <w:fldChar w:fldCharType="end"/>
        </w:r>
      </w:p>
    </w:sdtContent>
  </w:sdt>
  <w:p w:rsidR="0053334A" w:rsidRDefault="0053334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05BEF"/>
    <w:rsid w:val="000D7593"/>
    <w:rsid w:val="000E027A"/>
    <w:rsid w:val="000E63FF"/>
    <w:rsid w:val="001C4786"/>
    <w:rsid w:val="001E0EF0"/>
    <w:rsid w:val="00213963"/>
    <w:rsid w:val="00230A89"/>
    <w:rsid w:val="002A18D8"/>
    <w:rsid w:val="002E7AC4"/>
    <w:rsid w:val="003023E4"/>
    <w:rsid w:val="00375E02"/>
    <w:rsid w:val="003A56C5"/>
    <w:rsid w:val="00472F58"/>
    <w:rsid w:val="00505DFE"/>
    <w:rsid w:val="0053334A"/>
    <w:rsid w:val="00594014"/>
    <w:rsid w:val="005A5F9A"/>
    <w:rsid w:val="005B4211"/>
    <w:rsid w:val="005F11FB"/>
    <w:rsid w:val="005F42EC"/>
    <w:rsid w:val="00616B9C"/>
    <w:rsid w:val="00622FA2"/>
    <w:rsid w:val="0065694B"/>
    <w:rsid w:val="006B7689"/>
    <w:rsid w:val="006D31CA"/>
    <w:rsid w:val="006F2A37"/>
    <w:rsid w:val="00731034"/>
    <w:rsid w:val="0074772D"/>
    <w:rsid w:val="007E4C6E"/>
    <w:rsid w:val="00805BEF"/>
    <w:rsid w:val="009A03B5"/>
    <w:rsid w:val="009D6FAF"/>
    <w:rsid w:val="009F592A"/>
    <w:rsid w:val="00A44170"/>
    <w:rsid w:val="00A909F0"/>
    <w:rsid w:val="00AD3AB0"/>
    <w:rsid w:val="00AF5B2B"/>
    <w:rsid w:val="00C307BA"/>
    <w:rsid w:val="00C33728"/>
    <w:rsid w:val="00CA00DC"/>
    <w:rsid w:val="00CB69B4"/>
    <w:rsid w:val="00D82578"/>
    <w:rsid w:val="00DD52D1"/>
    <w:rsid w:val="00E64627"/>
    <w:rsid w:val="00E72ABB"/>
    <w:rsid w:val="00EC6DDE"/>
    <w:rsid w:val="00F918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10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5B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5BEF"/>
  </w:style>
  <w:style w:type="paragraph" w:styleId="Fuzeile">
    <w:name w:val="footer"/>
    <w:basedOn w:val="Standard"/>
    <w:link w:val="FuzeileZchn"/>
    <w:uiPriority w:val="99"/>
    <w:semiHidden/>
    <w:unhideWhenUsed/>
    <w:rsid w:val="00805BE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05BEF"/>
  </w:style>
  <w:style w:type="paragraph" w:styleId="Funotentext">
    <w:name w:val="footnote text"/>
    <w:basedOn w:val="Standard"/>
    <w:link w:val="FunotentextZchn"/>
    <w:uiPriority w:val="99"/>
    <w:semiHidden/>
    <w:unhideWhenUsed/>
    <w:rsid w:val="00805BEF"/>
    <w:pPr>
      <w:spacing w:after="0" w:line="240" w:lineRule="auto"/>
    </w:pPr>
  </w:style>
  <w:style w:type="character" w:customStyle="1" w:styleId="FunotentextZchn">
    <w:name w:val="Fußnotentext Zchn"/>
    <w:basedOn w:val="Absatz-Standardschriftart"/>
    <w:link w:val="Funotentext"/>
    <w:uiPriority w:val="99"/>
    <w:semiHidden/>
    <w:rsid w:val="00805BEF"/>
  </w:style>
  <w:style w:type="character" w:styleId="Funotenzeichen">
    <w:name w:val="footnote reference"/>
    <w:basedOn w:val="Absatz-Standardschriftart"/>
    <w:uiPriority w:val="99"/>
    <w:semiHidden/>
    <w:unhideWhenUsed/>
    <w:rsid w:val="00805B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1C024-6A7B-4F1D-95F6-DE72365B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6647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2010-08-25T07:31:00Z</cp:lastPrinted>
  <dcterms:created xsi:type="dcterms:W3CDTF">2010-08-25T12:53:00Z</dcterms:created>
  <dcterms:modified xsi:type="dcterms:W3CDTF">2012-08-01T14:00:00Z</dcterms:modified>
</cp:coreProperties>
</file>