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20" w:rsidRDefault="0088466C" w:rsidP="00E32920">
      <w:pPr>
        <w:spacing w:after="0"/>
        <w:jc w:val="center"/>
        <w:rPr>
          <w:b/>
        </w:rPr>
      </w:pPr>
      <w:r>
        <w:rPr>
          <w:b/>
        </w:rPr>
        <w:t>Rassismus, Zwangsmigration und Holocaust</w:t>
      </w:r>
      <w:r w:rsidR="00E64F33">
        <w:rPr>
          <w:b/>
        </w:rPr>
        <w:t>.</w:t>
      </w:r>
    </w:p>
    <w:p w:rsidR="0088466C" w:rsidRDefault="0088466C" w:rsidP="00E32920">
      <w:pPr>
        <w:spacing w:after="0"/>
        <w:jc w:val="center"/>
        <w:rPr>
          <w:b/>
        </w:rPr>
      </w:pPr>
      <w:r>
        <w:rPr>
          <w:b/>
        </w:rPr>
        <w:t>Die deutschsprachige Exilliteratur 1933-1945 und ihr Umfeld</w:t>
      </w:r>
    </w:p>
    <w:p w:rsidR="0088466C" w:rsidRDefault="0088466C" w:rsidP="00E64F33">
      <w:pPr>
        <w:spacing w:after="0"/>
        <w:rPr>
          <w:b/>
        </w:rPr>
      </w:pPr>
    </w:p>
    <w:p w:rsidR="006564E7" w:rsidRPr="00D229D8" w:rsidRDefault="006564E7" w:rsidP="00104A8F">
      <w:pPr>
        <w:spacing w:after="0"/>
        <w:rPr>
          <w:b/>
        </w:rPr>
      </w:pPr>
    </w:p>
    <w:p w:rsidR="006564E7" w:rsidRPr="00D229D8" w:rsidRDefault="006564E7" w:rsidP="00104A8F">
      <w:pPr>
        <w:spacing w:after="0" w:line="240" w:lineRule="auto"/>
        <w:jc w:val="right"/>
      </w:pPr>
      <w:r w:rsidRPr="00D229D8">
        <w:t>„[Der Holocaust] ist das Problem der Deutschen.</w:t>
      </w:r>
    </w:p>
    <w:p w:rsidR="006564E7" w:rsidRPr="00D229D8" w:rsidRDefault="006564E7" w:rsidP="00104A8F">
      <w:pPr>
        <w:spacing w:after="0" w:line="240" w:lineRule="auto"/>
        <w:jc w:val="right"/>
      </w:pPr>
      <w:r w:rsidRPr="00D229D8">
        <w:t>Sie müssen sehen, wie sie damit zurechtkommen.“</w:t>
      </w:r>
    </w:p>
    <w:p w:rsidR="006564E7" w:rsidRDefault="006564E7" w:rsidP="00104A8F">
      <w:pPr>
        <w:spacing w:after="0" w:line="240" w:lineRule="auto"/>
        <w:jc w:val="right"/>
        <w:rPr>
          <w:i/>
        </w:rPr>
      </w:pPr>
      <w:r w:rsidRPr="00D229D8">
        <w:t xml:space="preserve">Claude Lanzmann: </w:t>
      </w:r>
      <w:proofErr w:type="spellStart"/>
      <w:r w:rsidRPr="00D229D8">
        <w:rPr>
          <w:i/>
        </w:rPr>
        <w:t>Shoa</w:t>
      </w:r>
      <w:proofErr w:type="spellEnd"/>
    </w:p>
    <w:p w:rsidR="00E64F33" w:rsidRPr="00D229D8" w:rsidRDefault="00E64F33" w:rsidP="00104A8F">
      <w:pPr>
        <w:spacing w:after="0" w:line="240" w:lineRule="auto"/>
        <w:jc w:val="right"/>
      </w:pPr>
    </w:p>
    <w:p w:rsidR="00E64F33" w:rsidRDefault="00AE4074" w:rsidP="000F7A9D">
      <w:pPr>
        <w:spacing w:after="0"/>
        <w:jc w:val="both"/>
        <w:rPr>
          <w:b/>
        </w:rPr>
      </w:pPr>
      <w:r>
        <w:rPr>
          <w:b/>
        </w:rPr>
        <w:t xml:space="preserve">(1) 1. Kapitel: </w:t>
      </w:r>
      <w:r w:rsidR="00E64F33" w:rsidRPr="00D229D8">
        <w:rPr>
          <w:b/>
        </w:rPr>
        <w:t>D</w:t>
      </w:r>
      <w:r w:rsidR="00E64F33">
        <w:rPr>
          <w:b/>
        </w:rPr>
        <w:t>as Untersuchungsfeld – Inkohärenzen</w:t>
      </w:r>
      <w:r w:rsidR="00E64F33" w:rsidRPr="000D6DBA">
        <w:rPr>
          <w:b/>
        </w:rPr>
        <w:t xml:space="preserve"> </w:t>
      </w:r>
      <w:r w:rsidR="00E64F33">
        <w:rPr>
          <w:b/>
        </w:rPr>
        <w:t>und Brüche</w:t>
      </w:r>
    </w:p>
    <w:p w:rsidR="00E32920" w:rsidRDefault="00E32920" w:rsidP="000F7A9D">
      <w:pPr>
        <w:spacing w:after="0"/>
        <w:jc w:val="both"/>
      </w:pPr>
    </w:p>
    <w:p w:rsidR="0093082A" w:rsidRDefault="0093082A" w:rsidP="000F7A9D">
      <w:pPr>
        <w:spacing w:after="0"/>
        <w:jc w:val="both"/>
      </w:pPr>
      <w:r w:rsidRPr="0093082A">
        <w:t>Die deutschsprachige Literatur im 20. Jahrhundert wird von einem zentralen Geschehen d</w:t>
      </w:r>
      <w:r w:rsidRPr="0093082A">
        <w:t>o</w:t>
      </w:r>
      <w:r w:rsidRPr="0093082A">
        <w:t>miniert: den Auswirkungen der nationalsozialistischen Verfolgungs- und Vernichtungspolitik 1933-1945. Diese Politik zielte – obwohl sie mit spektakulären Aktionen gegen prominente Repräsentanten des literarischen Lebens eingeleitet wurde</w:t>
      </w:r>
      <w:r w:rsidRPr="0093082A">
        <w:rPr>
          <w:rStyle w:val="Funotenzeichen"/>
        </w:rPr>
        <w:footnoteReference w:id="1"/>
      </w:r>
      <w:r w:rsidRPr="0093082A">
        <w:t xml:space="preserve"> – in erster Linie keineswegs auf die Literatur und das literarische System ab, sondern richtete sich auf andere Ziele: auf Krieg und militärische Eroberung. Aber die Eingriffe, die Teil dieser Politik waren, hatten im B</w:t>
      </w:r>
      <w:r w:rsidRPr="0093082A">
        <w:t>e</w:t>
      </w:r>
      <w:r w:rsidRPr="0093082A">
        <w:t>reich der Literatur immense Folgen, und die menschenverachtenden Zielsetzungen, nach d</w:t>
      </w:r>
      <w:r w:rsidRPr="0093082A">
        <w:t>e</w:t>
      </w:r>
      <w:r w:rsidRPr="0093082A">
        <w:t>nen die nationalsozialistische Politik verfuhr, lasten, weil die deutsche Gesellschaft Träger dieser Politik war und an ihrem Vollzug beteiligt, diese Beteiligung jedoch jahrzehntelang verdrängt hat, auf der Nachkriegsgesellschaft als schwere Hypothek.</w:t>
      </w:r>
    </w:p>
    <w:p w:rsidR="00866547" w:rsidRPr="0093082A" w:rsidRDefault="00866547" w:rsidP="000F7A9D">
      <w:pPr>
        <w:spacing w:after="0"/>
        <w:jc w:val="both"/>
      </w:pPr>
    </w:p>
    <w:p w:rsidR="002522E6" w:rsidRDefault="00506579" w:rsidP="000F7A9D">
      <w:pPr>
        <w:spacing w:after="0"/>
        <w:ind w:firstLine="708"/>
        <w:jc w:val="both"/>
      </w:pPr>
      <w:r>
        <w:t>Die</w:t>
      </w:r>
      <w:r w:rsidR="00B207D1">
        <w:t xml:space="preserve"> nationalsozialistische Politik </w:t>
      </w:r>
      <w:r w:rsidR="00406A62">
        <w:t>führte bei</w:t>
      </w:r>
      <w:r>
        <w:t xml:space="preserve"> der jüdischen Bevölkerungsgruppe </w:t>
      </w:r>
      <w:r w:rsidR="00406A62">
        <w:t xml:space="preserve">zur </w:t>
      </w:r>
      <w:r w:rsidR="00B207D1">
        <w:t>Zwangsemigration.</w:t>
      </w:r>
      <w:r w:rsidR="00406A62">
        <w:t xml:space="preserve"> Si</w:t>
      </w:r>
      <w:r w:rsidR="00CF2A60">
        <w:t xml:space="preserve">e war das Resultat von </w:t>
      </w:r>
      <w:r>
        <w:t xml:space="preserve">Entrechtung, </w:t>
      </w:r>
      <w:r w:rsidR="00CF2A60">
        <w:t>Terror und Enteignung.</w:t>
      </w:r>
    </w:p>
    <w:p w:rsidR="002522E6" w:rsidRDefault="00506579" w:rsidP="000F7A9D">
      <w:pPr>
        <w:spacing w:after="0"/>
        <w:ind w:firstLine="708"/>
        <w:jc w:val="both"/>
      </w:pPr>
      <w:r>
        <w:t>Bereits unmittelbar nach den Reichstagswahlen vom 5. März 1933 setzten</w:t>
      </w:r>
      <w:r w:rsidR="00CF2A60">
        <w:t xml:space="preserve"> pogroma</w:t>
      </w:r>
      <w:r w:rsidR="00CF2A60">
        <w:t>r</w:t>
      </w:r>
      <w:r w:rsidR="00CF2A60">
        <w:t xml:space="preserve">tige Ausschreitungen </w:t>
      </w:r>
      <w:r>
        <w:t>ei</w:t>
      </w:r>
      <w:r w:rsidR="00CF2A60">
        <w:t xml:space="preserve">n. Sie richteten sich vorwiegend gegen </w:t>
      </w:r>
      <w:r w:rsidR="00845DDD">
        <w:t xml:space="preserve">jüdische </w:t>
      </w:r>
      <w:r w:rsidR="00CF2A60">
        <w:t>Geschäftsleute, Ric</w:t>
      </w:r>
      <w:r w:rsidR="00CF2A60">
        <w:t>h</w:t>
      </w:r>
      <w:r w:rsidR="00CF2A60">
        <w:t xml:space="preserve">ter und Ärzte. Am 1. April wurden </w:t>
      </w:r>
      <w:r>
        <w:t xml:space="preserve">dann </w:t>
      </w:r>
      <w:r w:rsidR="00CF2A60">
        <w:t>in einer planmäßig</w:t>
      </w:r>
      <w:r>
        <w:t xml:space="preserve"> vorbereitet</w:t>
      </w:r>
      <w:r w:rsidR="00CF2A60">
        <w:t>en Aktion, dem „J</w:t>
      </w:r>
      <w:r w:rsidR="00CF2A60">
        <w:t>u</w:t>
      </w:r>
      <w:r w:rsidR="00CF2A60">
        <w:t xml:space="preserve">denboykotttag“, jüdische Geschäfte, Anwaltskanzleien und Arztpraxen </w:t>
      </w:r>
      <w:r w:rsidR="00BB7557">
        <w:t>blockiert</w:t>
      </w:r>
      <w:r w:rsidR="00874DFE">
        <w:t>,</w:t>
      </w:r>
      <w:r w:rsidR="00BB7557">
        <w:t xml:space="preserve"> Schaufen</w:t>
      </w:r>
      <w:r w:rsidR="00BB7557">
        <w:t>s</w:t>
      </w:r>
      <w:r w:rsidR="00BB7557">
        <w:t>ter und Fassaden mit antisemitischen Parolen beschmiert. Am 7. April 1933 wurde das „G</w:t>
      </w:r>
      <w:r w:rsidR="00BB7557">
        <w:t>e</w:t>
      </w:r>
      <w:r w:rsidR="00BB7557">
        <w:t xml:space="preserve">setz zur Wiederherstellung des Berufsbeamtentums“ erlassen, das die Entlassung jüdischer Beamter und Angestellter, </w:t>
      </w:r>
      <w:r w:rsidR="00874DFE">
        <w:t>von</w:t>
      </w:r>
      <w:r w:rsidR="00BB7557">
        <w:t xml:space="preserve"> Hochschullehrer</w:t>
      </w:r>
      <w:r w:rsidR="00874DFE">
        <w:t>n</w:t>
      </w:r>
      <w:r w:rsidR="00BB7557">
        <w:t xml:space="preserve"> ebenso wie </w:t>
      </w:r>
      <w:r>
        <w:t xml:space="preserve">von </w:t>
      </w:r>
      <w:r w:rsidR="00BB7557">
        <w:t>Schauspieler</w:t>
      </w:r>
      <w:r w:rsidR="00874DFE">
        <w:t>n</w:t>
      </w:r>
      <w:r>
        <w:t>,</w:t>
      </w:r>
      <w:r w:rsidR="00BB7557">
        <w:t xml:space="preserve"> Orcheste</w:t>
      </w:r>
      <w:r w:rsidR="00BB7557">
        <w:t>r</w:t>
      </w:r>
      <w:r w:rsidR="00BB7557">
        <w:t>musiker</w:t>
      </w:r>
      <w:r w:rsidR="00874DFE">
        <w:t>n</w:t>
      </w:r>
      <w:r>
        <w:t xml:space="preserve"> und anderen Künstlern</w:t>
      </w:r>
      <w:r w:rsidR="00874DFE">
        <w:t>,</w:t>
      </w:r>
      <w:r w:rsidR="00BB7557">
        <w:t xml:space="preserve"> zur Folge hatte</w:t>
      </w:r>
      <w:r w:rsidR="00874DFE">
        <w:t>.</w:t>
      </w:r>
      <w:r w:rsidR="00BB7557">
        <w:t xml:space="preserve"> </w:t>
      </w:r>
      <w:r w:rsidR="00874DFE">
        <w:t>A</w:t>
      </w:r>
      <w:r w:rsidR="00BB7557">
        <w:t xml:space="preserve">m 11. April </w:t>
      </w:r>
      <w:r w:rsidR="00874DFE">
        <w:t xml:space="preserve">folgte </w:t>
      </w:r>
      <w:r w:rsidR="00BB7557">
        <w:t>das „Gesetz über die Zulassung zur Rechtsanwaltschaft“</w:t>
      </w:r>
      <w:r w:rsidR="00F20581">
        <w:t>;</w:t>
      </w:r>
      <w:r w:rsidR="00BB7557">
        <w:t xml:space="preserve"> am 22. April wurde den Ärzten „nichtarischer Absta</w:t>
      </w:r>
      <w:r w:rsidR="00BB7557">
        <w:t>m</w:t>
      </w:r>
      <w:r w:rsidR="00BB7557">
        <w:t xml:space="preserve">mung“ die Zulassung bei den Krankenkassen entzogen, am 25. April </w:t>
      </w:r>
      <w:r w:rsidR="002522E6">
        <w:t>den Schulen und Un</w:t>
      </w:r>
      <w:r w:rsidR="002522E6">
        <w:t>i</w:t>
      </w:r>
      <w:r w:rsidR="002522E6">
        <w:t xml:space="preserve">versitäten </w:t>
      </w:r>
      <w:r w:rsidR="00BB7557">
        <w:t>eine Quotierung für jüdische Schüler und Studenten vorgeschrieben.</w:t>
      </w:r>
      <w:r w:rsidR="00BB7557">
        <w:rPr>
          <w:rStyle w:val="Funotenzeichen"/>
        </w:rPr>
        <w:footnoteReference w:id="2"/>
      </w:r>
      <w:r w:rsidR="00BB7557">
        <w:t xml:space="preserve"> </w:t>
      </w:r>
      <w:r w:rsidR="002522E6">
        <w:t>– Insbesond</w:t>
      </w:r>
      <w:r w:rsidR="002522E6">
        <w:t>e</w:t>
      </w:r>
      <w:r w:rsidR="002522E6">
        <w:t xml:space="preserve">re in der Anfangsphase der nationalsozialistischen Herrschaft überlagerten sich </w:t>
      </w:r>
      <w:r w:rsidR="00406A62">
        <w:t>die antijüd</w:t>
      </w:r>
      <w:r w:rsidR="00406A62">
        <w:t>i</w:t>
      </w:r>
      <w:r w:rsidR="00406A62">
        <w:t>schen Aktionen und</w:t>
      </w:r>
      <w:r w:rsidR="002522E6">
        <w:t xml:space="preserve"> der Terror gegen die Parteien und die Gewerkschaften. </w:t>
      </w:r>
      <w:r w:rsidR="00406A62">
        <w:t>Durch willkürl</w:t>
      </w:r>
      <w:r w:rsidR="00406A62">
        <w:t>i</w:t>
      </w:r>
      <w:r w:rsidR="00406A62">
        <w:t>che Verhaftungen wurde politischer Zwang ausgeübt. Der Vorgang wiederholte sich i</w:t>
      </w:r>
      <w:r w:rsidR="002522E6">
        <w:t>m Zuge der Gleichschaltung der Länder</w:t>
      </w:r>
      <w:r w:rsidR="00406A62">
        <w:t>.</w:t>
      </w:r>
      <w:r w:rsidR="002522E6">
        <w:t xml:space="preserve"> </w:t>
      </w:r>
    </w:p>
    <w:p w:rsidR="005F28D2" w:rsidRDefault="00B207D1" w:rsidP="000F7A9D">
      <w:pPr>
        <w:spacing w:after="0"/>
        <w:ind w:firstLine="708"/>
        <w:jc w:val="both"/>
      </w:pPr>
      <w:r>
        <w:t xml:space="preserve">Die Emigration erfolgte in Schüben. </w:t>
      </w:r>
      <w:r w:rsidR="00845DDD">
        <w:t>Bereits</w:t>
      </w:r>
      <w:r w:rsidR="00F20581">
        <w:t xml:space="preserve"> 1933 verließen 37.000 Personen Deutsc</w:t>
      </w:r>
      <w:r w:rsidR="00F20581">
        <w:t>h</w:t>
      </w:r>
      <w:r w:rsidR="00F20581">
        <w:t>land</w:t>
      </w:r>
      <w:r w:rsidR="00845DDD">
        <w:t>, 1934 und 1937 jeweils 23.000, 1935 – die niedrigste Quote – 21.000 Personen</w:t>
      </w:r>
      <w:r w:rsidR="00F20581">
        <w:t>. Der H</w:t>
      </w:r>
      <w:r w:rsidR="00F20581">
        <w:t>ö</w:t>
      </w:r>
      <w:r w:rsidR="00F20581">
        <w:t xml:space="preserve">hepunkt der Emigrationswelle lag in den Jahren 1938 und 1939 mit 40.000 bzw. 78.000 </w:t>
      </w:r>
      <w:r w:rsidR="00F20581">
        <w:lastRenderedPageBreak/>
        <w:t xml:space="preserve">Flüchtlingen, </w:t>
      </w:r>
      <w:r w:rsidR="002522E6">
        <w:t>di</w:t>
      </w:r>
      <w:r w:rsidR="00F20581">
        <w:t xml:space="preserve">e </w:t>
      </w:r>
      <w:r w:rsidR="002522E6">
        <w:t xml:space="preserve">unmittelbare </w:t>
      </w:r>
      <w:r w:rsidR="00F20581">
        <w:t>Folge der Annexion Österreichs, der Sudetengebiete und der Novemberpogrome.</w:t>
      </w:r>
      <w:r w:rsidR="00BC13BB">
        <w:rPr>
          <w:rStyle w:val="Funotenzeichen"/>
        </w:rPr>
        <w:footnoteReference w:id="3"/>
      </w:r>
      <w:r w:rsidR="00F20581">
        <w:t xml:space="preserve"> </w:t>
      </w:r>
      <w:r w:rsidR="002522E6">
        <w:t xml:space="preserve">Sowohl bei der Annexion Österreich als auch im Zusammenhang der Novemberpogrome wurden Masseneinweisungen in die Konzentrationslager vorgenommen, um den </w:t>
      </w:r>
      <w:r w:rsidR="00406A62">
        <w:t>Druck</w:t>
      </w:r>
      <w:r w:rsidR="002522E6">
        <w:t xml:space="preserve"> zur Emigration zu erhöhen. </w:t>
      </w:r>
      <w:r w:rsidR="00F20581">
        <w:t xml:space="preserve">Insgesamt </w:t>
      </w:r>
      <w:proofErr w:type="gramStart"/>
      <w:r w:rsidR="00F20581">
        <w:t>flüchtete</w:t>
      </w:r>
      <w:proofErr w:type="gramEnd"/>
      <w:r w:rsidR="00F20581">
        <w:t xml:space="preserve"> annähernd eine halben Million Menschen aus Deutschland.</w:t>
      </w:r>
      <w:r w:rsidR="002C302C">
        <w:t xml:space="preserve"> </w:t>
      </w:r>
      <w:r w:rsidR="002522E6">
        <w:t>C</w:t>
      </w:r>
      <w:r w:rsidR="00BC13BB">
        <w:t>a.</w:t>
      </w:r>
      <w:r w:rsidR="00ED0404">
        <w:t xml:space="preserve"> 30.000 Personen </w:t>
      </w:r>
      <w:r w:rsidR="00F30253">
        <w:t xml:space="preserve">werden davon </w:t>
      </w:r>
      <w:r w:rsidR="00ED0404">
        <w:t xml:space="preserve">dem politischen Exil </w:t>
      </w:r>
      <w:r w:rsidR="00B324B8">
        <w:t>im e</w:t>
      </w:r>
      <w:r w:rsidR="00B324B8">
        <w:t>n</w:t>
      </w:r>
      <w:r w:rsidR="00B324B8">
        <w:t xml:space="preserve">geren Sinne </w:t>
      </w:r>
      <w:r w:rsidR="00ED0404">
        <w:t>zugerechnet.</w:t>
      </w:r>
      <w:r w:rsidR="00ED0404">
        <w:rPr>
          <w:rStyle w:val="Funotenzeichen"/>
        </w:rPr>
        <w:footnoteReference w:id="4"/>
      </w:r>
      <w:r w:rsidR="00ED0404">
        <w:t xml:space="preserve"> </w:t>
      </w:r>
      <w:r w:rsidR="00406A62">
        <w:t xml:space="preserve">Davon war </w:t>
      </w:r>
      <w:r w:rsidR="001A2DD1">
        <w:t xml:space="preserve">die überwiegende Mehrzahl </w:t>
      </w:r>
      <w:r w:rsidR="00D3242E">
        <w:t>jüdische</w:t>
      </w:r>
      <w:r w:rsidR="00F30253">
        <w:t>r Abstammung</w:t>
      </w:r>
      <w:r w:rsidR="00ED0404">
        <w:t>.</w:t>
      </w:r>
    </w:p>
    <w:p w:rsidR="00B324B8" w:rsidRDefault="00406A62" w:rsidP="000F7A9D">
      <w:pPr>
        <w:spacing w:after="0"/>
        <w:ind w:firstLine="708"/>
        <w:jc w:val="both"/>
      </w:pPr>
      <w:r>
        <w:t xml:space="preserve">Die ersten Flüchtlinge waren </w:t>
      </w:r>
      <w:r w:rsidR="00D3242E">
        <w:t>Pazifisten, Linksintellektuelle und Mitglieder bzw. Sy</w:t>
      </w:r>
      <w:r w:rsidR="00D3242E">
        <w:t>m</w:t>
      </w:r>
      <w:r w:rsidR="00D3242E">
        <w:t>pathisanten linker, sozialistischer Parteien</w:t>
      </w:r>
      <w:r w:rsidR="005F28D2">
        <w:t xml:space="preserve">. </w:t>
      </w:r>
      <w:r w:rsidR="00B324B8">
        <w:t xml:space="preserve">Sie repräsentierten </w:t>
      </w:r>
      <w:r>
        <w:t>in den Augen der Nationalsoz</w:t>
      </w:r>
      <w:r>
        <w:t>i</w:t>
      </w:r>
      <w:r>
        <w:t xml:space="preserve">alisten </w:t>
      </w:r>
      <w:r w:rsidR="00B324B8">
        <w:t xml:space="preserve">den „inneren Feind“, der </w:t>
      </w:r>
      <w:r w:rsidR="00D60CE9">
        <w:t xml:space="preserve">für </w:t>
      </w:r>
      <w:r w:rsidR="00B324B8">
        <w:t xml:space="preserve">„Bolschewismus“ bzw. </w:t>
      </w:r>
      <w:r w:rsidR="00D32917">
        <w:t xml:space="preserve">für </w:t>
      </w:r>
      <w:r w:rsidR="00B324B8">
        <w:t>die „</w:t>
      </w:r>
      <w:r w:rsidR="00D32917">
        <w:t>Juden</w:t>
      </w:r>
      <w:r w:rsidR="00B324B8">
        <w:t xml:space="preserve">republik“ </w:t>
      </w:r>
      <w:r w:rsidR="00D60CE9">
        <w:t>stand</w:t>
      </w:r>
      <w:r w:rsidR="00B324B8">
        <w:t>. Zu d</w:t>
      </w:r>
      <w:r w:rsidR="00D60CE9">
        <w:t>ies</w:t>
      </w:r>
      <w:r w:rsidR="00B324B8">
        <w:t>e</w:t>
      </w:r>
      <w:r w:rsidR="00D32917">
        <w:t>r Gruppe gehörten</w:t>
      </w:r>
      <w:r w:rsidR="00B324B8">
        <w:t xml:space="preserve"> auch </w:t>
      </w:r>
      <w:r w:rsidR="00F30253">
        <w:t xml:space="preserve">zwei prominente Schriftsteller: </w:t>
      </w:r>
      <w:r w:rsidR="00B324B8">
        <w:t>Alfred Kerr und Heinrich Mann.</w:t>
      </w:r>
      <w:r w:rsidR="00B324B8">
        <w:rPr>
          <w:rStyle w:val="Funotenzeichen"/>
        </w:rPr>
        <w:footnoteReference w:id="5"/>
      </w:r>
      <w:r w:rsidR="00B324B8">
        <w:t xml:space="preserve"> </w:t>
      </w:r>
      <w:r w:rsidR="00D32917">
        <w:t>Kerr war vor dem Entzug seines Reisepasses durch loyale Beamte im Polizeiapparat, die es zu diesem Zeitpunkt noch gab, gewarnt worden, Heinrich Mann durch den französischen Bo</w:t>
      </w:r>
      <w:r w:rsidR="00D32917">
        <w:t>t</w:t>
      </w:r>
      <w:r w:rsidR="00D32917">
        <w:t xml:space="preserve">schafter in Berlin François-Poncet. </w:t>
      </w:r>
      <w:r w:rsidR="00D60CE9">
        <w:t>Kurt Tucholsky, d</w:t>
      </w:r>
      <w:r w:rsidR="00D32917">
        <w:t>er</w:t>
      </w:r>
      <w:r w:rsidR="00D60CE9">
        <w:t xml:space="preserve"> v</w:t>
      </w:r>
      <w:r w:rsidR="00D32917">
        <w:t>ermutlich</w:t>
      </w:r>
      <w:r w:rsidR="00D60CE9">
        <w:t xml:space="preserve"> am stärksten gefährdete Schriftsteller, hatte </w:t>
      </w:r>
      <w:r w:rsidR="00D32917">
        <w:t xml:space="preserve">aus Vorsicht </w:t>
      </w:r>
      <w:r w:rsidR="00D60CE9">
        <w:t xml:space="preserve">bereits </w:t>
      </w:r>
      <w:r w:rsidR="00D32917">
        <w:t>19</w:t>
      </w:r>
      <w:r w:rsidR="002D2CD0">
        <w:t>29</w:t>
      </w:r>
      <w:r w:rsidR="00D60CE9">
        <w:t xml:space="preserve"> seinen Wohnsitz ins Ausland verlegt. </w:t>
      </w:r>
    </w:p>
    <w:p w:rsidR="002D2CF5" w:rsidRDefault="00B324B8" w:rsidP="000F7A9D">
      <w:pPr>
        <w:spacing w:after="0"/>
        <w:ind w:firstLine="708"/>
        <w:jc w:val="both"/>
      </w:pPr>
      <w:r>
        <w:t>D</w:t>
      </w:r>
      <w:r w:rsidR="00F30253">
        <w:t>ie Mehrheit der jüdischen Bevölkerung</w:t>
      </w:r>
      <w:r w:rsidR="005733B4">
        <w:t xml:space="preserve"> </w:t>
      </w:r>
      <w:r w:rsidR="00685974">
        <w:t xml:space="preserve">blieb </w:t>
      </w:r>
      <w:r w:rsidR="008514CD">
        <w:t xml:space="preserve">jedoch </w:t>
      </w:r>
      <w:r w:rsidR="0068050B">
        <w:t>zunächst in Deutschland</w:t>
      </w:r>
      <w:r>
        <w:t>.</w:t>
      </w:r>
      <w:r w:rsidR="00685974">
        <w:t xml:space="preserve"> </w:t>
      </w:r>
      <w:r w:rsidR="001C4AD7">
        <w:t>Die Gründe waren unterschiedlich</w:t>
      </w:r>
      <w:r w:rsidR="00F30253">
        <w:t>.</w:t>
      </w:r>
      <w:r w:rsidR="0068050B">
        <w:t xml:space="preserve"> </w:t>
      </w:r>
      <w:r w:rsidR="00F30253">
        <w:t>Ein Grund war, dass</w:t>
      </w:r>
      <w:r w:rsidR="002379D8">
        <w:t xml:space="preserve"> d</w:t>
      </w:r>
      <w:r w:rsidR="00685974">
        <w:t xml:space="preserve">ie Informationen, die man </w:t>
      </w:r>
      <w:r>
        <w:t>von den</w:t>
      </w:r>
      <w:r w:rsidR="00F30253">
        <w:t xml:space="preserve"> ins</w:t>
      </w:r>
      <w:r>
        <w:t xml:space="preserve"> </w:t>
      </w:r>
      <w:r w:rsidR="00F30253">
        <w:t xml:space="preserve">Ausland </w:t>
      </w:r>
      <w:r>
        <w:t xml:space="preserve">geflüchteten Verwandten und Freunden </w:t>
      </w:r>
      <w:r w:rsidR="00685974">
        <w:t>erhielt, ein Abwarten nahe</w:t>
      </w:r>
      <w:r w:rsidR="00F30253">
        <w:t xml:space="preserve"> legten</w:t>
      </w:r>
      <w:r w:rsidR="00685974">
        <w:t xml:space="preserve">. </w:t>
      </w:r>
      <w:r w:rsidR="002379D8">
        <w:t>Die Emi</w:t>
      </w:r>
      <w:r w:rsidR="002379D8">
        <w:t>g</w:t>
      </w:r>
      <w:r w:rsidR="002379D8">
        <w:t>ranten</w:t>
      </w:r>
      <w:r w:rsidR="00815678">
        <w:t xml:space="preserve"> sahen sich </w:t>
      </w:r>
      <w:r w:rsidR="00F30253">
        <w:t xml:space="preserve">nach vollzogener Flucht </w:t>
      </w:r>
      <w:r w:rsidR="00815678">
        <w:t>mit erheblichen Schwierigkeiten konfrontiert</w:t>
      </w:r>
      <w:r w:rsidR="00F30253">
        <w:t>, die ein normales Leben nahezu unmöglich machten</w:t>
      </w:r>
      <w:r w:rsidR="00815678">
        <w:t xml:space="preserve">. </w:t>
      </w:r>
      <w:r w:rsidR="00D32917">
        <w:t>Generell</w:t>
      </w:r>
      <w:r w:rsidR="00D32917" w:rsidRPr="00D32917">
        <w:t xml:space="preserve"> </w:t>
      </w:r>
      <w:r w:rsidR="00D32917">
        <w:t xml:space="preserve">zeigten </w:t>
      </w:r>
      <w:r w:rsidR="00815678">
        <w:t>d</w:t>
      </w:r>
      <w:r w:rsidR="001C4AD7">
        <w:t>ie deutschen Nachbarsta</w:t>
      </w:r>
      <w:r w:rsidR="001C4AD7">
        <w:t>a</w:t>
      </w:r>
      <w:r w:rsidR="001C4AD7">
        <w:t>ten</w:t>
      </w:r>
      <w:r w:rsidR="001C4AD7" w:rsidRPr="001C4AD7">
        <w:t xml:space="preserve"> </w:t>
      </w:r>
      <w:r w:rsidR="001C4AD7">
        <w:t>wenig Bereitschaft, die Migranten aufzunehmen</w:t>
      </w:r>
      <w:r w:rsidR="002379D8">
        <w:t>.</w:t>
      </w:r>
      <w:r w:rsidR="001C4AD7">
        <w:t xml:space="preserve"> </w:t>
      </w:r>
      <w:r w:rsidR="00D32917">
        <w:t>Wer nicht über eigenes Vermögen ve</w:t>
      </w:r>
      <w:r w:rsidR="00D32917">
        <w:t>r</w:t>
      </w:r>
      <w:r w:rsidR="00D32917">
        <w:t>fügte, dem war</w:t>
      </w:r>
      <w:r w:rsidR="002D2CF5">
        <w:t xml:space="preserve"> es kaum möglich, den Lebensunterhalt aus eigener Kraft zu bestreiten</w:t>
      </w:r>
      <w:r w:rsidR="00293822">
        <w:t>.</w:t>
      </w:r>
      <w:r w:rsidR="00293822" w:rsidRPr="00293822">
        <w:t xml:space="preserve"> </w:t>
      </w:r>
      <w:r w:rsidR="00293822">
        <w:t>Eine Arbeitserlaubnis wurde nicht erteilt, so dass die Flüchtlinge von Zuwendungen der Hilfskom</w:t>
      </w:r>
      <w:r w:rsidR="00293822">
        <w:t>i</w:t>
      </w:r>
      <w:r w:rsidR="00293822">
        <w:t>tees abhängig waren.</w:t>
      </w:r>
      <w:r w:rsidR="002D2CF5">
        <w:t xml:space="preserve"> </w:t>
      </w:r>
      <w:r w:rsidR="001C4AD7">
        <w:t xml:space="preserve">Zeugnisse und berufliche Qualifikationsnachweise </w:t>
      </w:r>
      <w:r w:rsidR="00815678">
        <w:t xml:space="preserve">wurden </w:t>
      </w:r>
      <w:r w:rsidR="001C4AD7">
        <w:t>nicht ane</w:t>
      </w:r>
      <w:r w:rsidR="001C4AD7">
        <w:t>r</w:t>
      </w:r>
      <w:r w:rsidR="001C4AD7">
        <w:t xml:space="preserve">kannt. Dass </w:t>
      </w:r>
      <w:r w:rsidR="00293822">
        <w:t xml:space="preserve">in Frankreich oder in den USA </w:t>
      </w:r>
      <w:r w:rsidR="001C4AD7">
        <w:t>ein deutsche</w:t>
      </w:r>
      <w:r w:rsidR="002379D8">
        <w:t>s</w:t>
      </w:r>
      <w:r w:rsidR="001C4AD7">
        <w:t xml:space="preserve"> juristisches </w:t>
      </w:r>
      <w:r w:rsidR="00815678">
        <w:t>Diplom</w:t>
      </w:r>
      <w:r w:rsidR="001C4AD7">
        <w:t xml:space="preserve"> nicht von Wert </w:t>
      </w:r>
      <w:r w:rsidR="00293822">
        <w:t>war</w:t>
      </w:r>
      <w:r w:rsidR="001C4AD7">
        <w:t xml:space="preserve">, </w:t>
      </w:r>
      <w:r w:rsidR="00815678">
        <w:t>war</w:t>
      </w:r>
      <w:r w:rsidR="001C4AD7">
        <w:t xml:space="preserve"> </w:t>
      </w:r>
      <w:r w:rsidR="00293822">
        <w:t xml:space="preserve">immerhin </w:t>
      </w:r>
      <w:r w:rsidR="001C4AD7">
        <w:t xml:space="preserve">verständlich – dass jedoch </w:t>
      </w:r>
      <w:r w:rsidR="00815678">
        <w:t xml:space="preserve">ein </w:t>
      </w:r>
      <w:r w:rsidR="001C4AD7">
        <w:t>medizinische</w:t>
      </w:r>
      <w:r w:rsidR="00815678">
        <w:t>s</w:t>
      </w:r>
      <w:r w:rsidR="001C4AD7">
        <w:t xml:space="preserve"> Exam</w:t>
      </w:r>
      <w:r w:rsidR="00815678">
        <w:t>en</w:t>
      </w:r>
      <w:r w:rsidR="001C4AD7">
        <w:t xml:space="preserve"> keine Anerkennung </w:t>
      </w:r>
      <w:r w:rsidR="00815678">
        <w:t>finden würde</w:t>
      </w:r>
      <w:r w:rsidR="001C4AD7">
        <w:t xml:space="preserve">, </w:t>
      </w:r>
      <w:r w:rsidR="00815678">
        <w:t>war nicht zu erwarten gewesen</w:t>
      </w:r>
      <w:r w:rsidR="001C4AD7">
        <w:t>.</w:t>
      </w:r>
      <w:r w:rsidR="002D2CF5">
        <w:t xml:space="preserve"> </w:t>
      </w:r>
      <w:r w:rsidR="00293822">
        <w:t>Viele</w:t>
      </w:r>
      <w:r w:rsidR="001C4AD7">
        <w:t xml:space="preserve"> Emigranten – </w:t>
      </w:r>
      <w:r w:rsidR="002D2CF5">
        <w:t xml:space="preserve">Beispiele aus dem Bereich der Schriftsteller sind </w:t>
      </w:r>
      <w:r w:rsidR="001C4AD7">
        <w:t xml:space="preserve">Anna Seghers </w:t>
      </w:r>
      <w:r w:rsidR="002D2CF5">
        <w:t>und</w:t>
      </w:r>
      <w:r w:rsidR="00D60CE9">
        <w:t xml:space="preserve"> Walter Benjamin </w:t>
      </w:r>
      <w:r w:rsidR="001C4AD7">
        <w:t>– w</w:t>
      </w:r>
      <w:r w:rsidR="00293822">
        <w:t>urden</w:t>
      </w:r>
      <w:r w:rsidR="002D2CF5">
        <w:t xml:space="preserve"> </w:t>
      </w:r>
      <w:r w:rsidR="00815678">
        <w:t>aufgrund dieser S</w:t>
      </w:r>
      <w:r w:rsidR="002D2CF5">
        <w:t xml:space="preserve">ituation </w:t>
      </w:r>
      <w:r w:rsidR="00293822">
        <w:t xml:space="preserve">zumindest zeitweilig </w:t>
      </w:r>
      <w:r w:rsidR="002D2CF5">
        <w:t>durch die</w:t>
      </w:r>
      <w:r w:rsidR="001C4AD7">
        <w:t xml:space="preserve"> in Deutschland verbliebenen </w:t>
      </w:r>
      <w:r w:rsidR="00D60CE9">
        <w:t xml:space="preserve">Freunden und </w:t>
      </w:r>
      <w:r w:rsidR="001C4AD7">
        <w:t>Angehörigen</w:t>
      </w:r>
      <w:r w:rsidR="002D2CF5">
        <w:t xml:space="preserve"> </w:t>
      </w:r>
      <w:r w:rsidR="00293822">
        <w:t>u</w:t>
      </w:r>
      <w:r w:rsidR="00293822">
        <w:t>n</w:t>
      </w:r>
      <w:r w:rsidR="00293822">
        <w:t>terstützt</w:t>
      </w:r>
      <w:r w:rsidR="001C4AD7">
        <w:t>.</w:t>
      </w:r>
      <w:r w:rsidR="00293822">
        <w:t xml:space="preserve"> Das war jedoch nur möglich, solange Devisen ins Ausland transferiert werden kon</w:t>
      </w:r>
      <w:r w:rsidR="00293822">
        <w:t>n</w:t>
      </w:r>
      <w:r w:rsidR="00293822">
        <w:t>ten.</w:t>
      </w:r>
    </w:p>
    <w:p w:rsidR="002379D8" w:rsidRDefault="002D2CF5" w:rsidP="000F7A9D">
      <w:pPr>
        <w:spacing w:after="0"/>
        <w:ind w:firstLine="708"/>
        <w:jc w:val="both"/>
      </w:pPr>
      <w:r>
        <w:t xml:space="preserve">Ein Grund für den Verbleib in Deutschland war sicherlich, dass </w:t>
      </w:r>
      <w:r w:rsidR="00293822">
        <w:t xml:space="preserve">von vielen </w:t>
      </w:r>
      <w:r>
        <w:t>die leben</w:t>
      </w:r>
      <w:r>
        <w:t>s</w:t>
      </w:r>
      <w:r>
        <w:t xml:space="preserve">bedrohende Zuspitzung der Gefahr nicht erkannt wurde. </w:t>
      </w:r>
      <w:r w:rsidR="008514CD">
        <w:t>E</w:t>
      </w:r>
      <w:r w:rsidR="00D60CE9">
        <w:t xml:space="preserve">ntscheidend </w:t>
      </w:r>
      <w:r w:rsidR="00EC0476">
        <w:t xml:space="preserve">war dies vermutlich </w:t>
      </w:r>
      <w:r>
        <w:t>insbesondere für die Angehörigen der älteren Generation</w:t>
      </w:r>
      <w:r w:rsidR="00EC0476">
        <w:t>. Der Antisemitismus war für sie schließlich kein neues Phänomen. S</w:t>
      </w:r>
      <w:r>
        <w:t xml:space="preserve">ie </w:t>
      </w:r>
      <w:r w:rsidR="00EC0476">
        <w:t xml:space="preserve">fühlten </w:t>
      </w:r>
      <w:r w:rsidR="002379D8">
        <w:t xml:space="preserve">sich </w:t>
      </w:r>
      <w:r w:rsidR="00EC0476">
        <w:t xml:space="preserve">trotz aller Diskriminierungen </w:t>
      </w:r>
      <w:r w:rsidR="002379D8">
        <w:t>in Deutsc</w:t>
      </w:r>
      <w:r w:rsidR="002379D8">
        <w:t>h</w:t>
      </w:r>
      <w:r w:rsidR="002379D8">
        <w:t xml:space="preserve">land </w:t>
      </w:r>
      <w:r w:rsidR="00FE0071">
        <w:t>noch immer</w:t>
      </w:r>
      <w:r w:rsidR="00D60CE9">
        <w:t xml:space="preserve"> vergleichsweise sicher</w:t>
      </w:r>
      <w:r w:rsidR="002379D8">
        <w:t xml:space="preserve">. </w:t>
      </w:r>
      <w:r w:rsidR="00EC0476">
        <w:t xml:space="preserve">Sie vertrauten auf das Recht. </w:t>
      </w:r>
      <w:r w:rsidR="002379D8">
        <w:t xml:space="preserve">Ein Leben lang hatten sie als pflichttreue Bürger gelebt. </w:t>
      </w:r>
      <w:r w:rsidR="00FE0071">
        <w:t>D</w:t>
      </w:r>
      <w:r w:rsidR="00D60CE9">
        <w:t>ass d</w:t>
      </w:r>
      <w:r w:rsidR="00FE0071">
        <w:t xml:space="preserve">er Nationalsozialismus </w:t>
      </w:r>
      <w:r w:rsidR="00D60CE9">
        <w:t>jedoch</w:t>
      </w:r>
      <w:r w:rsidR="00FE0071">
        <w:t xml:space="preserve"> nur „Juden</w:t>
      </w:r>
      <w:r w:rsidR="00D60CE9">
        <w:t>“</w:t>
      </w:r>
      <w:r w:rsidR="00D60CE9" w:rsidRPr="00D60CE9">
        <w:t xml:space="preserve"> </w:t>
      </w:r>
      <w:r w:rsidR="00D60CE9">
        <w:t>kannte</w:t>
      </w:r>
      <w:r w:rsidR="00FE0071">
        <w:t>, aber kein Recht</w:t>
      </w:r>
      <w:r w:rsidR="00D60CE9">
        <w:t xml:space="preserve">, </w:t>
      </w:r>
      <w:r w:rsidR="00963081">
        <w:t>war für sie unvorstellbar</w:t>
      </w:r>
      <w:r w:rsidR="00FE0071">
        <w:t>.</w:t>
      </w:r>
    </w:p>
    <w:p w:rsidR="00FE0071" w:rsidRDefault="00FE0071" w:rsidP="000F7A9D">
      <w:pPr>
        <w:spacing w:after="0"/>
        <w:ind w:firstLine="708"/>
        <w:jc w:val="both"/>
      </w:pPr>
    </w:p>
    <w:p w:rsidR="00FE0071" w:rsidRDefault="003C4625" w:rsidP="000F7A9D">
      <w:pPr>
        <w:spacing w:after="0"/>
        <w:ind w:firstLine="708"/>
        <w:jc w:val="both"/>
      </w:pPr>
      <w:r w:rsidRPr="00D229D8">
        <w:lastRenderedPageBreak/>
        <w:t>Unter de</w:t>
      </w:r>
      <w:r w:rsidR="0093082A">
        <w:t>n</w:t>
      </w:r>
      <w:r w:rsidRPr="00D229D8">
        <w:t xml:space="preserve"> </w:t>
      </w:r>
      <w:r w:rsidR="000C0C60">
        <w:t xml:space="preserve">annähernd 500.000 </w:t>
      </w:r>
      <w:r w:rsidR="00EC0476">
        <w:t>Flüchtling</w:t>
      </w:r>
      <w:r w:rsidRPr="00D229D8">
        <w:t>e</w:t>
      </w:r>
      <w:r w:rsidR="0093082A">
        <w:t>n</w:t>
      </w:r>
      <w:r w:rsidRPr="00D229D8">
        <w:rPr>
          <w:rStyle w:val="Funotenzeichen"/>
        </w:rPr>
        <w:footnoteReference w:id="6"/>
      </w:r>
      <w:r w:rsidRPr="00D229D8">
        <w:t xml:space="preserve"> befanden sich schätzungsweise 2.000 bis 3.000 Schriftsteller und Publizisten</w:t>
      </w:r>
      <w:r w:rsidR="008F75E1">
        <w:t>:</w:t>
      </w:r>
      <w:r w:rsidRPr="00D229D8">
        <w:rPr>
          <w:rStyle w:val="Funotenzeichen"/>
        </w:rPr>
        <w:footnoteReference w:id="7"/>
      </w:r>
      <w:r w:rsidRPr="00D229D8">
        <w:t xml:space="preserve"> </w:t>
      </w:r>
      <w:r w:rsidR="00F20581">
        <w:t xml:space="preserve">mit </w:t>
      </w:r>
      <w:r w:rsidRPr="00D229D8">
        <w:t xml:space="preserve">Heinrich und Thomas Mann, </w:t>
      </w:r>
      <w:r w:rsidR="008F75E1">
        <w:t xml:space="preserve">Ernst Toller, </w:t>
      </w:r>
      <w:r w:rsidRPr="00D229D8">
        <w:t xml:space="preserve">Bert Brecht, </w:t>
      </w:r>
      <w:r w:rsidR="008F75E1">
        <w:t>Joseph Roth</w:t>
      </w:r>
      <w:r w:rsidR="0099099B">
        <w:t xml:space="preserve">, </w:t>
      </w:r>
      <w:proofErr w:type="spellStart"/>
      <w:r w:rsidR="00256580">
        <w:t>Ö</w:t>
      </w:r>
      <w:r w:rsidR="00576F65">
        <w:t>dön</w:t>
      </w:r>
      <w:proofErr w:type="spellEnd"/>
      <w:r w:rsidR="00576F65">
        <w:t xml:space="preserve"> von Horváth, </w:t>
      </w:r>
      <w:r w:rsidRPr="00D229D8">
        <w:t xml:space="preserve">Anna Seghers, Alfred Döblin, Else Lasker-Schüler zentrale Persönlichkeiten der deutschsprachigen Literatur des 20. Jahrhunderts. </w:t>
      </w:r>
      <w:r w:rsidR="008514CD">
        <w:t>Es</w:t>
      </w:r>
      <w:r w:rsidR="00B267EB">
        <w:t xml:space="preserve"> waren in der Mehrzahl </w:t>
      </w:r>
      <w:r w:rsidR="00B37521">
        <w:t>d</w:t>
      </w:r>
      <w:r w:rsidR="00B267EB" w:rsidRPr="00D229D8">
        <w:t>eutsche</w:t>
      </w:r>
      <w:r w:rsidR="00B267EB">
        <w:t xml:space="preserve"> und</w:t>
      </w:r>
      <w:r w:rsidR="00B267EB" w:rsidRPr="00D229D8">
        <w:t xml:space="preserve"> </w:t>
      </w:r>
      <w:r w:rsidR="00B37521">
        <w:t>ö</w:t>
      </w:r>
      <w:r w:rsidR="00B267EB" w:rsidRPr="00D229D8">
        <w:t>sterreich</w:t>
      </w:r>
      <w:r w:rsidR="00B37521">
        <w:t>ische</w:t>
      </w:r>
      <w:r w:rsidR="00B267EB" w:rsidRPr="00D229D8">
        <w:rPr>
          <w:rStyle w:val="Funotenzeichen"/>
        </w:rPr>
        <w:footnoteReference w:id="8"/>
      </w:r>
      <w:r w:rsidR="00B267EB">
        <w:t>,</w:t>
      </w:r>
      <w:r w:rsidR="00B267EB" w:rsidRPr="00D229D8">
        <w:t xml:space="preserve"> </w:t>
      </w:r>
      <w:r w:rsidR="00B267EB">
        <w:t>in relevanter Zahl</w:t>
      </w:r>
      <w:r w:rsidR="00B37521">
        <w:t xml:space="preserve"> jedoch auch</w:t>
      </w:r>
      <w:r w:rsidR="008514CD">
        <w:t xml:space="preserve"> tschechoslowak</w:t>
      </w:r>
      <w:r w:rsidR="008514CD">
        <w:t>i</w:t>
      </w:r>
      <w:r w:rsidR="008514CD">
        <w:t>sche</w:t>
      </w:r>
      <w:r w:rsidR="00B267EB">
        <w:t xml:space="preserve"> Staatsbürger</w:t>
      </w:r>
      <w:r w:rsidR="008F75E1">
        <w:t xml:space="preserve">, </w:t>
      </w:r>
      <w:r w:rsidR="008514CD">
        <w:t xml:space="preserve">in </w:t>
      </w:r>
      <w:r w:rsidR="00D61C5D">
        <w:t>geringe</w:t>
      </w:r>
      <w:r w:rsidR="008514CD">
        <w:t>re</w:t>
      </w:r>
      <w:r w:rsidR="00B37521">
        <w:t>n Umfang</w:t>
      </w:r>
      <w:r w:rsidR="00D61C5D">
        <w:t xml:space="preserve"> </w:t>
      </w:r>
      <w:r w:rsidR="00B267EB">
        <w:t xml:space="preserve">auch </w:t>
      </w:r>
      <w:r w:rsidR="00D61C5D">
        <w:t xml:space="preserve">polnische und ungarische. </w:t>
      </w:r>
      <w:proofErr w:type="spellStart"/>
      <w:r w:rsidR="008514CD">
        <w:t>Öd</w:t>
      </w:r>
      <w:r w:rsidR="00B267EB">
        <w:t>ö</w:t>
      </w:r>
      <w:r w:rsidR="008514CD">
        <w:t>n</w:t>
      </w:r>
      <w:proofErr w:type="spellEnd"/>
      <w:r w:rsidR="008514CD">
        <w:t xml:space="preserve"> von Horváth war ungarischer, Soma Morgenstern polnischer</w:t>
      </w:r>
      <w:r w:rsidR="006049DF">
        <w:t xml:space="preserve">, </w:t>
      </w:r>
      <w:proofErr w:type="spellStart"/>
      <w:r w:rsidR="006049DF">
        <w:t>Kisch</w:t>
      </w:r>
      <w:proofErr w:type="spellEnd"/>
      <w:r w:rsidR="006049DF">
        <w:t xml:space="preserve"> tschechoslowakischer</w:t>
      </w:r>
      <w:r w:rsidR="002D2CD0" w:rsidRPr="002D2CD0">
        <w:t xml:space="preserve"> </w:t>
      </w:r>
      <w:r w:rsidR="002D2CD0">
        <w:t>Staatsbürger</w:t>
      </w:r>
      <w:r w:rsidR="008514CD">
        <w:t>.</w:t>
      </w:r>
    </w:p>
    <w:p w:rsidR="00BD66E6" w:rsidRDefault="004A4F80" w:rsidP="000F7A9D">
      <w:pPr>
        <w:spacing w:after="0"/>
        <w:ind w:firstLine="708"/>
        <w:jc w:val="both"/>
      </w:pPr>
      <w:r>
        <w:t>D</w:t>
      </w:r>
      <w:r w:rsidR="008514CD">
        <w:t>ie</w:t>
      </w:r>
      <w:r>
        <w:t xml:space="preserve"> Schriftsteller</w:t>
      </w:r>
      <w:r w:rsidR="008514CD">
        <w:t xml:space="preserve"> vor </w:t>
      </w:r>
      <w:r w:rsidR="00DF13CF">
        <w:t xml:space="preserve">allem </w:t>
      </w:r>
      <w:r w:rsidR="008514CD">
        <w:t>der frühen Exilphase v</w:t>
      </w:r>
      <w:r>
        <w:t>erstand</w:t>
      </w:r>
      <w:r w:rsidR="008514CD">
        <w:t>en</w:t>
      </w:r>
      <w:r>
        <w:t xml:space="preserve"> sich als politische Emi</w:t>
      </w:r>
      <w:r>
        <w:t>g</w:t>
      </w:r>
      <w:r>
        <w:t>ran</w:t>
      </w:r>
      <w:r w:rsidR="008514CD">
        <w:t>ten</w:t>
      </w:r>
      <w:r w:rsidR="006971FE">
        <w:t xml:space="preserve">, </w:t>
      </w:r>
      <w:r w:rsidR="008514CD">
        <w:t xml:space="preserve">ihr Exil </w:t>
      </w:r>
      <w:r w:rsidR="006971FE">
        <w:t>als freiwillig</w:t>
      </w:r>
      <w:r w:rsidR="008F75E1">
        <w:t xml:space="preserve"> – ein Selbstverständnis, das ganz und gar nicht den tatsächlichen Gegebenheiten entsprach, denn </w:t>
      </w:r>
      <w:r w:rsidR="00FE0071">
        <w:t xml:space="preserve">die meisten </w:t>
      </w:r>
      <w:r w:rsidR="00DF13CF">
        <w:t>von ihnen</w:t>
      </w:r>
      <w:r w:rsidR="008F75E1">
        <w:t xml:space="preserve"> waren </w:t>
      </w:r>
      <w:r w:rsidR="00B37521">
        <w:t>– wie bereits erwähnt – m</w:t>
      </w:r>
      <w:r w:rsidR="008F75E1">
        <w:t xml:space="preserve">it </w:t>
      </w:r>
      <w:r w:rsidR="00CE58CB">
        <w:t>d</w:t>
      </w:r>
      <w:r w:rsidR="008F75E1">
        <w:t>em Entschluss, Deutschland zu verlassen</w:t>
      </w:r>
      <w:r w:rsidR="00B37521">
        <w:t>, ein</w:t>
      </w:r>
      <w:r w:rsidR="008F75E1">
        <w:t>er drohenden Verhaftung zuvorgekommen</w:t>
      </w:r>
      <w:r>
        <w:t>.</w:t>
      </w:r>
      <w:r w:rsidR="00612DE1">
        <w:rPr>
          <w:rStyle w:val="Funotenzeichen"/>
        </w:rPr>
        <w:footnoteReference w:id="9"/>
      </w:r>
      <w:r w:rsidR="00612DE1">
        <w:t xml:space="preserve"> </w:t>
      </w:r>
      <w:r w:rsidR="00B37521">
        <w:t>Sie hatten auf unterschiedliche Weise die Grenzkontrollen umgangen. – M</w:t>
      </w:r>
      <w:r w:rsidR="00B837AB">
        <w:t>it der</w:t>
      </w:r>
      <w:r w:rsidR="008F75E1">
        <w:t xml:space="preserve"> Betonung der „Freiwilligkeit“ </w:t>
      </w:r>
      <w:r w:rsidR="00DF13CF">
        <w:t>ihr</w:t>
      </w:r>
      <w:r w:rsidR="008F75E1">
        <w:t>es Entschlusses nahm</w:t>
      </w:r>
      <w:r w:rsidR="00B837AB">
        <w:t>en sie</w:t>
      </w:r>
      <w:r w:rsidR="008F75E1">
        <w:t xml:space="preserve"> Bezug auf eine fast schon legendäre Tradition: </w:t>
      </w:r>
      <w:r w:rsidR="009175B0">
        <w:t xml:space="preserve">auf das Beispiel von Heine und </w:t>
      </w:r>
      <w:proofErr w:type="spellStart"/>
      <w:r w:rsidR="009175B0">
        <w:t>Börne</w:t>
      </w:r>
      <w:proofErr w:type="spellEnd"/>
      <w:r w:rsidR="009175B0">
        <w:t xml:space="preserve">, </w:t>
      </w:r>
      <w:proofErr w:type="spellStart"/>
      <w:r w:rsidR="009175B0">
        <w:t>Mme</w:t>
      </w:r>
      <w:proofErr w:type="spellEnd"/>
      <w:r w:rsidR="009175B0">
        <w:t>. de Staël und Benjamin Constant, Victor Hugo und Émile Zola.</w:t>
      </w:r>
      <w:r w:rsidR="008F75E1">
        <w:t xml:space="preserve"> </w:t>
      </w:r>
      <w:r w:rsidR="00B37521" w:rsidRPr="00D229D8">
        <w:t xml:space="preserve">Walter A. </w:t>
      </w:r>
      <w:proofErr w:type="spellStart"/>
      <w:r w:rsidR="00B37521" w:rsidRPr="00D229D8">
        <w:t>Berendsohn</w:t>
      </w:r>
      <w:proofErr w:type="spellEnd"/>
      <w:r w:rsidR="00B37521" w:rsidRPr="00D229D8">
        <w:t>, der Begründer der literaturwissenschaftlichen Exi</w:t>
      </w:r>
      <w:r w:rsidR="00B37521" w:rsidRPr="00D229D8">
        <w:t>l</w:t>
      </w:r>
      <w:r w:rsidR="00B37521" w:rsidRPr="00D229D8">
        <w:t>forschung</w:t>
      </w:r>
      <w:r w:rsidR="00B37521">
        <w:t>, hat</w:t>
      </w:r>
      <w:r w:rsidR="00B37521" w:rsidRPr="00B37521">
        <w:t xml:space="preserve"> </w:t>
      </w:r>
      <w:r w:rsidR="00B37521" w:rsidRPr="00D229D8">
        <w:t>d</w:t>
      </w:r>
      <w:r w:rsidR="00B37521">
        <w:t>ieses</w:t>
      </w:r>
      <w:r w:rsidR="00B37521" w:rsidRPr="00D229D8">
        <w:t xml:space="preserve"> Selbstverständnis</w:t>
      </w:r>
      <w:r w:rsidR="00B37521" w:rsidRPr="00B37521">
        <w:rPr>
          <w:i/>
        </w:rPr>
        <w:t xml:space="preserve"> </w:t>
      </w:r>
      <w:r w:rsidR="00B37521">
        <w:t>in den Begriff der</w:t>
      </w:r>
      <w:r w:rsidR="00B37521">
        <w:rPr>
          <w:i/>
        </w:rPr>
        <w:t xml:space="preserve"> Humanistische Front</w:t>
      </w:r>
      <w:r w:rsidR="00B37521">
        <w:t xml:space="preserve"> gefasst, so der Titel der </w:t>
      </w:r>
      <w:r w:rsidR="00B37521" w:rsidRPr="00D229D8">
        <w:t xml:space="preserve">noch </w:t>
      </w:r>
      <w:r w:rsidR="00B37521">
        <w:t>vor Beginn des Zweiten Weltkrieges</w:t>
      </w:r>
      <w:r w:rsidR="00B37521" w:rsidRPr="00D229D8">
        <w:t xml:space="preserve"> entstandenen </w:t>
      </w:r>
      <w:r w:rsidR="00B37521">
        <w:t xml:space="preserve">ersten </w:t>
      </w:r>
      <w:r w:rsidR="00B37521" w:rsidRPr="00D229D8">
        <w:t>Überblicksdarste</w:t>
      </w:r>
      <w:r w:rsidR="00B37521" w:rsidRPr="00D229D8">
        <w:t>l</w:t>
      </w:r>
      <w:r w:rsidR="00B37521" w:rsidRPr="00D229D8">
        <w:t>lung.</w:t>
      </w:r>
      <w:r w:rsidR="00B37521" w:rsidRPr="00D229D8">
        <w:rPr>
          <w:rStyle w:val="Funotenzeichen"/>
        </w:rPr>
        <w:footnoteReference w:id="10"/>
      </w:r>
      <w:r w:rsidR="00B37521">
        <w:t xml:space="preserve"> </w:t>
      </w:r>
      <w:r w:rsidR="00A15621">
        <w:t>Doch anders als</w:t>
      </w:r>
      <w:r w:rsidR="006F126E">
        <w:t xml:space="preserve"> </w:t>
      </w:r>
      <w:proofErr w:type="spellStart"/>
      <w:r w:rsidR="006F126E">
        <w:t>Börne</w:t>
      </w:r>
      <w:proofErr w:type="spellEnd"/>
      <w:r w:rsidR="006F126E">
        <w:t xml:space="preserve"> und Heine</w:t>
      </w:r>
      <w:r w:rsidR="00A15621">
        <w:t>, Victor Hugo und</w:t>
      </w:r>
      <w:r w:rsidR="006F126E">
        <w:t xml:space="preserve"> </w:t>
      </w:r>
      <w:r w:rsidR="00A15621">
        <w:t xml:space="preserve">Zola </w:t>
      </w:r>
      <w:r w:rsidR="006F126E">
        <w:t xml:space="preserve">bezogen </w:t>
      </w:r>
      <w:r w:rsidR="00A15621">
        <w:t xml:space="preserve">die deutschen </w:t>
      </w:r>
      <w:r w:rsidR="006F126E">
        <w:t>Exil</w:t>
      </w:r>
      <w:r w:rsidR="00A15621">
        <w:t>anten</w:t>
      </w:r>
      <w:r w:rsidR="006F126E">
        <w:t xml:space="preserve"> </w:t>
      </w:r>
      <w:r w:rsidR="00A15621">
        <w:t>keine</w:t>
      </w:r>
      <w:r w:rsidR="006F126E">
        <w:t xml:space="preserve"> Honorare </w:t>
      </w:r>
      <w:r w:rsidR="00A15621">
        <w:t xml:space="preserve">mehr </w:t>
      </w:r>
      <w:r w:rsidR="006F126E">
        <w:t xml:space="preserve">aus Deutschland. </w:t>
      </w:r>
      <w:r w:rsidR="00A15621">
        <w:t xml:space="preserve">Ihre Schriften waren </w:t>
      </w:r>
      <w:r w:rsidR="00CE58CB">
        <w:t xml:space="preserve">in Deutschland </w:t>
      </w:r>
      <w:r w:rsidR="00A15621">
        <w:t>verb</w:t>
      </w:r>
      <w:r w:rsidR="00A15621">
        <w:t>o</w:t>
      </w:r>
      <w:r w:rsidR="00A15621">
        <w:t>ten</w:t>
      </w:r>
      <w:r w:rsidR="00580145">
        <w:t xml:space="preserve">. Heinrich Mann, </w:t>
      </w:r>
      <w:r w:rsidR="00A15621">
        <w:t xml:space="preserve">Lion Feuchtwanger, Alfred Kerr, Ernst Toller, Kurt Tucholsky wurde bereits am 23. August </w:t>
      </w:r>
      <w:r w:rsidR="00BD66E6">
        <w:t xml:space="preserve">1933 </w:t>
      </w:r>
      <w:r w:rsidR="00A15621">
        <w:t xml:space="preserve">die deutsche Staatsbürgerschaft entzogen. </w:t>
      </w:r>
      <w:r w:rsidR="00580145">
        <w:t>Zusammen mit Rudolf Breitscheid, Wilhelm Pieck, Philipp Scheidemann, Friedrich Stampfer und Otto Wels standen i</w:t>
      </w:r>
      <w:r w:rsidR="00BD66E6">
        <w:t>hre Namen auf der ersten Ausbürgerungsliste.</w:t>
      </w:r>
      <w:r w:rsidR="00BD66E6">
        <w:rPr>
          <w:rStyle w:val="Funotenzeichen"/>
        </w:rPr>
        <w:footnoteReference w:id="11"/>
      </w:r>
      <w:r w:rsidR="00BD66E6">
        <w:t xml:space="preserve"> </w:t>
      </w:r>
    </w:p>
    <w:p w:rsidR="006F126E" w:rsidRDefault="006F126E" w:rsidP="000F7A9D">
      <w:pPr>
        <w:spacing w:after="0"/>
        <w:ind w:firstLine="708"/>
        <w:jc w:val="both"/>
      </w:pPr>
      <w:r>
        <w:t xml:space="preserve">Die Schriftsteller standen </w:t>
      </w:r>
      <w:r w:rsidR="00580145">
        <w:t>nach ihre</w:t>
      </w:r>
      <w:r w:rsidR="006049DF">
        <w:t>r</w:t>
      </w:r>
      <w:r w:rsidR="00580145">
        <w:t xml:space="preserve"> Flucht </w:t>
      </w:r>
      <w:r>
        <w:t>zunächst einmal vor dem Nichts.</w:t>
      </w:r>
      <w:r w:rsidR="00BD66E6">
        <w:t xml:space="preserve"> </w:t>
      </w:r>
      <w:r w:rsidR="009F65EF">
        <w:t>Da</w:t>
      </w:r>
      <w:r w:rsidR="00B837AB">
        <w:t xml:space="preserve">ss </w:t>
      </w:r>
      <w:r w:rsidR="001B33A2">
        <w:t xml:space="preserve">sie schriftstellerisch </w:t>
      </w:r>
      <w:r w:rsidR="00BD66E6">
        <w:t>weiter tätig sein konnten, ist z</w:t>
      </w:r>
      <w:r w:rsidR="00B837AB">
        <w:t xml:space="preserve">u einem erheblichen Teil </w:t>
      </w:r>
      <w:r w:rsidR="001B33A2">
        <w:t xml:space="preserve">nur </w:t>
      </w:r>
      <w:r>
        <w:t xml:space="preserve">auf </w:t>
      </w:r>
      <w:r w:rsidR="00B837AB">
        <w:t xml:space="preserve">die politische </w:t>
      </w:r>
      <w:r w:rsidR="001B33A2">
        <w:t xml:space="preserve">und berufliche </w:t>
      </w:r>
      <w:r w:rsidR="00B837AB">
        <w:t xml:space="preserve">Solidarität </w:t>
      </w:r>
      <w:r w:rsidR="001B33A2">
        <w:t>einzelner</w:t>
      </w:r>
      <w:r w:rsidR="00B837AB">
        <w:t xml:space="preserve"> ausländischer Verl</w:t>
      </w:r>
      <w:r>
        <w:t>e</w:t>
      </w:r>
      <w:r w:rsidR="00B837AB">
        <w:t>ge</w:t>
      </w:r>
      <w:r>
        <w:t>r</w:t>
      </w:r>
      <w:r w:rsidR="001B33A2">
        <w:t xml:space="preserve"> zurückzuführen</w:t>
      </w:r>
      <w:r w:rsidR="00B837AB">
        <w:t xml:space="preserve">. </w:t>
      </w:r>
      <w:r>
        <w:t xml:space="preserve">Sie richteten in ihren Verlagen </w:t>
      </w:r>
      <w:r w:rsidR="001B33A2">
        <w:t xml:space="preserve">spezielle deutschsprachige </w:t>
      </w:r>
      <w:r>
        <w:t xml:space="preserve">Abteilungen ein, die den exilierten Schriftstellern offen standen. </w:t>
      </w:r>
      <w:r w:rsidR="00B837AB">
        <w:t xml:space="preserve">Nur durch diese Hilfe wurde es </w:t>
      </w:r>
      <w:r>
        <w:t xml:space="preserve">überhaupt </w:t>
      </w:r>
      <w:r w:rsidR="00B837AB">
        <w:t xml:space="preserve">möglich, dass </w:t>
      </w:r>
      <w:r>
        <w:t xml:space="preserve">„Emigrantenliteratur“ von künstlerischem und politischem Gewicht entstehen konnte. Wären </w:t>
      </w:r>
      <w:r w:rsidR="00B837AB">
        <w:t xml:space="preserve">Autoren </w:t>
      </w:r>
      <w:r>
        <w:t xml:space="preserve">wie </w:t>
      </w:r>
      <w:r w:rsidR="00B837AB">
        <w:t xml:space="preserve">Heinrich Mann, </w:t>
      </w:r>
      <w:r>
        <w:t xml:space="preserve">Bert </w:t>
      </w:r>
      <w:r w:rsidR="00B837AB">
        <w:t xml:space="preserve">Brecht, Joseph Roth, Anna Seghers oder </w:t>
      </w:r>
      <w:r>
        <w:t xml:space="preserve">Alfred </w:t>
      </w:r>
      <w:r w:rsidR="00B837AB">
        <w:t>Döblin</w:t>
      </w:r>
      <w:r>
        <w:t xml:space="preserve"> über eine längere Zei</w:t>
      </w:r>
      <w:r>
        <w:t>t</w:t>
      </w:r>
      <w:r>
        <w:t xml:space="preserve">spanne hinweg ohne </w:t>
      </w:r>
      <w:r w:rsidR="001B33A2">
        <w:t xml:space="preserve">den Rückhalt renommierter </w:t>
      </w:r>
      <w:r>
        <w:t>Verlag</w:t>
      </w:r>
      <w:r w:rsidR="001B33A2">
        <w:t xml:space="preserve">e </w:t>
      </w:r>
      <w:r>
        <w:t>geblieben</w:t>
      </w:r>
      <w:r w:rsidR="00B837AB">
        <w:t xml:space="preserve">, </w:t>
      </w:r>
      <w:r>
        <w:t xml:space="preserve">hätte </w:t>
      </w:r>
      <w:r w:rsidR="009F65EF">
        <w:t xml:space="preserve">die </w:t>
      </w:r>
      <w:r w:rsidR="001B33A2">
        <w:t>Exilliteratur</w:t>
      </w:r>
      <w:r w:rsidR="009F65EF">
        <w:t xml:space="preserve"> </w:t>
      </w:r>
      <w:r>
        <w:lastRenderedPageBreak/>
        <w:t xml:space="preserve">nicht </w:t>
      </w:r>
      <w:r w:rsidR="009F65EF">
        <w:t>entstehen k</w:t>
      </w:r>
      <w:r>
        <w:t>ö</w:t>
      </w:r>
      <w:r w:rsidR="009F65EF">
        <w:t>nne</w:t>
      </w:r>
      <w:r>
        <w:t>n.</w:t>
      </w:r>
      <w:r w:rsidR="0081791E">
        <w:t xml:space="preserve"> Als dieses </w:t>
      </w:r>
      <w:r w:rsidR="001B33A2">
        <w:t>verlegerische Auffangnetz</w:t>
      </w:r>
      <w:r w:rsidR="0081791E">
        <w:t xml:space="preserve"> im Zuge der Expansion des Dritten Reiches 1938/39 zusammenbrach, verlor auch die Exilliteratur deutlich an Kontur. Ohne die </w:t>
      </w:r>
      <w:r w:rsidR="00580145">
        <w:t>Unterstützung durch ausländische Exilverlage</w:t>
      </w:r>
      <w:r w:rsidR="0081791E">
        <w:t xml:space="preserve"> </w:t>
      </w:r>
      <w:r w:rsidR="001B33A2">
        <w:t>hätten</w:t>
      </w:r>
      <w:r w:rsidR="0081791E">
        <w:t xml:space="preserve"> sich </w:t>
      </w:r>
      <w:r w:rsidR="001B33A2">
        <w:t>vielleicht</w:t>
      </w:r>
      <w:r w:rsidR="0081791E">
        <w:t xml:space="preserve"> Erfolgsautoren wie Feuchtwanger oder </w:t>
      </w:r>
      <w:r w:rsidR="000D6DBA">
        <w:t>Stefan Zweig</w:t>
      </w:r>
      <w:r w:rsidR="00F11344">
        <w:t xml:space="preserve">, Vicki Baum </w:t>
      </w:r>
      <w:r w:rsidR="00580145">
        <w:t>oder</w:t>
      </w:r>
      <w:r w:rsidR="00F11344">
        <w:t xml:space="preserve"> Gina Kaus</w:t>
      </w:r>
      <w:r w:rsidR="0081791E">
        <w:t xml:space="preserve"> behaupten</w:t>
      </w:r>
      <w:r w:rsidR="001B33A2">
        <w:t xml:space="preserve"> können</w:t>
      </w:r>
      <w:r w:rsidR="0081791E">
        <w:t xml:space="preserve">, </w:t>
      </w:r>
      <w:r w:rsidR="001B33A2">
        <w:t>vie</w:t>
      </w:r>
      <w:r w:rsidR="001B33A2">
        <w:t>l</w:t>
      </w:r>
      <w:r w:rsidR="001B33A2">
        <w:t>leicht</w:t>
      </w:r>
      <w:r w:rsidR="0081791E">
        <w:t xml:space="preserve"> </w:t>
      </w:r>
      <w:r w:rsidR="00F11344">
        <w:t xml:space="preserve">auch </w:t>
      </w:r>
      <w:r w:rsidR="0081791E">
        <w:t>Thomas Mann</w:t>
      </w:r>
      <w:r w:rsidR="001B33A2">
        <w:t>, jedoch nur wenige andere</w:t>
      </w:r>
      <w:r w:rsidR="0081791E">
        <w:t xml:space="preserve">. </w:t>
      </w:r>
      <w:r w:rsidR="001B33A2">
        <w:t>Einzig</w:t>
      </w:r>
      <w:r w:rsidR="0081791E">
        <w:t xml:space="preserve"> ein Autor wie Brecht besaß die </w:t>
      </w:r>
      <w:r w:rsidR="00580145">
        <w:t>innere Sicherheit</w:t>
      </w:r>
      <w:r w:rsidR="0081791E">
        <w:t>, systematisch „für die Schublade“ zu schreiben – mit der</w:t>
      </w:r>
      <w:r w:rsidR="00580145">
        <w:t xml:space="preserve"> Erwartung</w:t>
      </w:r>
      <w:r w:rsidR="0081791E">
        <w:t xml:space="preserve">, dass </w:t>
      </w:r>
      <w:r w:rsidR="00580145">
        <w:t xml:space="preserve">mit dem Ende des Dritten Reiches </w:t>
      </w:r>
      <w:r w:rsidR="0081791E">
        <w:t>die so entstandenen Texte ihr Publikum finden würden.</w:t>
      </w:r>
    </w:p>
    <w:p w:rsidR="009F65EF" w:rsidRDefault="009F65EF" w:rsidP="000F7A9D">
      <w:pPr>
        <w:spacing w:after="0"/>
        <w:ind w:firstLine="708"/>
        <w:jc w:val="both"/>
      </w:pPr>
    </w:p>
    <w:p w:rsidR="00CA2435" w:rsidRDefault="00F738C9" w:rsidP="000F7A9D">
      <w:pPr>
        <w:spacing w:after="0"/>
        <w:ind w:firstLine="708"/>
        <w:jc w:val="both"/>
      </w:pPr>
      <w:r>
        <w:t>D</w:t>
      </w:r>
      <w:r w:rsidR="00233159">
        <w:t xml:space="preserve">ie </w:t>
      </w:r>
      <w:r w:rsidR="00580145">
        <w:t xml:space="preserve">Literaturwissenschaft </w:t>
      </w:r>
      <w:r w:rsidR="00B539A1">
        <w:t xml:space="preserve">hat </w:t>
      </w:r>
      <w:r w:rsidR="00580145">
        <w:t>spät</w:t>
      </w:r>
      <w:r w:rsidR="00B539A1">
        <w:t>,</w:t>
      </w:r>
      <w:r w:rsidR="00580145">
        <w:t xml:space="preserve"> </w:t>
      </w:r>
      <w:r w:rsidR="00B539A1">
        <w:t xml:space="preserve">im Wesentlichen im Laufe der 70er Jahre, </w:t>
      </w:r>
      <w:r w:rsidR="00580145">
        <w:t xml:space="preserve">auf die </w:t>
      </w:r>
      <w:r w:rsidR="00CE58CB">
        <w:t>Tatsache</w:t>
      </w:r>
      <w:r w:rsidR="00580145">
        <w:t xml:space="preserve"> reagiert</w:t>
      </w:r>
      <w:r w:rsidR="00CE58CB">
        <w:t xml:space="preserve">, dass </w:t>
      </w:r>
      <w:r w:rsidR="00580145">
        <w:t>zwischen 1933 und 1945 mit der</w:t>
      </w:r>
      <w:r w:rsidR="00CE58CB">
        <w:t xml:space="preserve"> Exilliteratur eine </w:t>
      </w:r>
      <w:r w:rsidR="00CE58CB">
        <w:rPr>
          <w:i/>
        </w:rPr>
        <w:t>zweite</w:t>
      </w:r>
      <w:r w:rsidR="00CE58CB">
        <w:t xml:space="preserve"> deutsche Literatur</w:t>
      </w:r>
      <w:r w:rsidR="00CE58CB">
        <w:rPr>
          <w:rStyle w:val="Funotenzeichen"/>
        </w:rPr>
        <w:footnoteReference w:id="12"/>
      </w:r>
      <w:r w:rsidR="00CE58CB">
        <w:t xml:space="preserve"> </w:t>
      </w:r>
      <w:r w:rsidR="00580145">
        <w:t>entstanden war</w:t>
      </w:r>
      <w:r w:rsidR="00423C87">
        <w:t>.</w:t>
      </w:r>
      <w:r w:rsidR="00580145">
        <w:rPr>
          <w:rStyle w:val="Funotenzeichen"/>
        </w:rPr>
        <w:footnoteReference w:id="13"/>
      </w:r>
      <w:r w:rsidR="00233159">
        <w:t xml:space="preserve"> </w:t>
      </w:r>
      <w:r>
        <w:t xml:space="preserve">Dem Beispiel </w:t>
      </w:r>
      <w:proofErr w:type="spellStart"/>
      <w:r>
        <w:t>Berendsohns</w:t>
      </w:r>
      <w:proofErr w:type="spellEnd"/>
      <w:r>
        <w:t xml:space="preserve"> folgend konzentrierte sie sich auf den speziellen Antagonismus der Exilliteratur und der Literatur des Dritten Reiches.</w:t>
      </w:r>
      <w:r>
        <w:rPr>
          <w:rStyle w:val="Funotenzeichen"/>
        </w:rPr>
        <w:footnoteReference w:id="14"/>
      </w:r>
      <w:r>
        <w:t xml:space="preserve"> </w:t>
      </w:r>
      <w:r w:rsidR="00B539A1">
        <w:t xml:space="preserve">Angesichts der überragenden Qualität der exilliterarischen Texte lag ein solches Vorgehen auf der Hand. </w:t>
      </w:r>
      <w:r>
        <w:t>Andererseits wurde</w:t>
      </w:r>
      <w:r w:rsidR="000D6DBA">
        <w:t>n</w:t>
      </w:r>
      <w:r>
        <w:t xml:space="preserve"> auf diese Weise </w:t>
      </w:r>
      <w:r w:rsidR="00B539A1">
        <w:t xml:space="preserve">Teile des historischen Kontextes </w:t>
      </w:r>
      <w:r>
        <w:t>verdeckt</w:t>
      </w:r>
      <w:r w:rsidR="00573B0C">
        <w:t>,</w:t>
      </w:r>
      <w:r>
        <w:t xml:space="preserve"> </w:t>
      </w:r>
      <w:r w:rsidR="00B539A1">
        <w:t xml:space="preserve">insbesondere </w:t>
      </w:r>
      <w:r>
        <w:t xml:space="preserve">dass </w:t>
      </w:r>
      <w:r w:rsidR="00B539A1">
        <w:t xml:space="preserve">bis 1938 </w:t>
      </w:r>
      <w:r>
        <w:t xml:space="preserve">mit dem Jüdischen Kulturbund und </w:t>
      </w:r>
      <w:r w:rsidR="00D863E8">
        <w:t>einzeln</w:t>
      </w:r>
      <w:r>
        <w:t xml:space="preserve">en Verlagen, </w:t>
      </w:r>
      <w:r w:rsidR="00B539A1">
        <w:t>vor allem</w:t>
      </w:r>
      <w:r>
        <w:t xml:space="preserve"> mit dem Schocken-Verlag, </w:t>
      </w:r>
      <w:r w:rsidR="00B539A1">
        <w:t>im Dritten Reich zumindest in Teilen</w:t>
      </w:r>
      <w:r>
        <w:t xml:space="preserve"> ein jüdische</w:t>
      </w:r>
      <w:r w:rsidR="00B539A1">
        <w:t>s</w:t>
      </w:r>
      <w:r>
        <w:t xml:space="preserve"> Kulturleben</w:t>
      </w:r>
      <w:r w:rsidR="00D863E8" w:rsidRPr="00D863E8">
        <w:t xml:space="preserve"> </w:t>
      </w:r>
      <w:r w:rsidR="00D863E8">
        <w:t>präsent war</w:t>
      </w:r>
      <w:r>
        <w:t xml:space="preserve"> und mit Gertrud Kolmar </w:t>
      </w:r>
      <w:r w:rsidR="00D863E8">
        <w:t>und</w:t>
      </w:r>
      <w:r>
        <w:t xml:space="preserve"> Nelly Sachs auch </w:t>
      </w:r>
      <w:r w:rsidR="00D863E8">
        <w:t>wichtige Autorinnen</w:t>
      </w:r>
      <w:r>
        <w:t xml:space="preserve">. </w:t>
      </w:r>
      <w:r w:rsidR="00D863E8">
        <w:t xml:space="preserve">Nelly Sachs gelang </w:t>
      </w:r>
      <w:r w:rsidR="00D31421">
        <w:t>b</w:t>
      </w:r>
      <w:r w:rsidR="00D31421">
        <w:t>e</w:t>
      </w:r>
      <w:r w:rsidR="00D31421">
        <w:t>kanntlich kurz</w:t>
      </w:r>
      <w:r w:rsidR="00D863E8">
        <w:t xml:space="preserve"> vor Schließung der Grenzen, nach Schweden zu emigrieren; Gertrud Kolmar wurde im Vernichtungslager ermordet. </w:t>
      </w:r>
      <w:r w:rsidR="00CD7281" w:rsidRPr="00D229D8">
        <w:t xml:space="preserve">Im Schocken Verlag erschienen u.a. die Werke des späteren Nobelpreisträgers S. J. Agnon, dazu die Werke Martin Bubers, Franz Rosenzweigs, Ernst Simons, vor allem aber die Werke Franz Kafkas. Als Lizenzausgabe des nunmehr in New York angesiedelten Schocken-Verlages gelangte das Werk Kafkas nach Ende des Dritten Reiches wieder nach Deutschland zurück. </w:t>
      </w:r>
      <w:r w:rsidR="00CD7281">
        <w:t>– A</w:t>
      </w:r>
      <w:r w:rsidR="00CA2435">
        <w:t xml:space="preserve">ls </w:t>
      </w:r>
      <w:r w:rsidR="00CD7281">
        <w:t xml:space="preserve">einzelne Literaturwissenschaftler </w:t>
      </w:r>
      <w:r w:rsidR="00CA2435">
        <w:t>erkannte</w:t>
      </w:r>
      <w:r w:rsidR="00CD7281">
        <w:t>n</w:t>
      </w:r>
      <w:r w:rsidR="00CA2435">
        <w:t xml:space="preserve">, </w:t>
      </w:r>
      <w:r w:rsidR="00D31421">
        <w:t xml:space="preserve">dass sich bei dem literarischen Leben im Dritten Reich um ein komplexes, vielschichtiges Phänomen handelte, </w:t>
      </w:r>
      <w:r w:rsidR="00CA2435">
        <w:t>versuchte</w:t>
      </w:r>
      <w:r w:rsidR="00CD7281">
        <w:t>n</w:t>
      </w:r>
      <w:r w:rsidR="00CA2435">
        <w:t xml:space="preserve"> </w:t>
      </w:r>
      <w:r w:rsidR="00CD7281">
        <w:t>sie</w:t>
      </w:r>
      <w:r w:rsidR="00CA2435">
        <w:t>, dur</w:t>
      </w:r>
      <w:r w:rsidR="009175B0">
        <w:t>ch eine problematische Konstruktion</w:t>
      </w:r>
      <w:r w:rsidR="002B2CAC">
        <w:t xml:space="preserve">: den Begriff der „inneren Emigration“, </w:t>
      </w:r>
      <w:r w:rsidR="00D31421">
        <w:t>dieses Probl</w:t>
      </w:r>
      <w:r w:rsidR="000D6DBA">
        <w:t>e</w:t>
      </w:r>
      <w:r w:rsidR="00D31421">
        <w:t xml:space="preserve">m </w:t>
      </w:r>
      <w:r w:rsidR="00CA2435">
        <w:t>a</w:t>
      </w:r>
      <w:r w:rsidR="00D863E8">
        <w:t>ufzufang</w:t>
      </w:r>
      <w:r w:rsidR="00CA2435">
        <w:t>en</w:t>
      </w:r>
      <w:r w:rsidR="002B2CAC">
        <w:t>.</w:t>
      </w:r>
      <w:r w:rsidR="00CE2445">
        <w:rPr>
          <w:rStyle w:val="Funotenzeichen"/>
        </w:rPr>
        <w:footnoteReference w:id="15"/>
      </w:r>
      <w:r w:rsidR="002B2CAC">
        <w:t xml:space="preserve"> </w:t>
      </w:r>
      <w:r w:rsidR="003A344A">
        <w:t>Es war eine begriffliche Parallelbildung, die absolut heterogene Elemente zusammenführte</w:t>
      </w:r>
      <w:r w:rsidR="00D31421">
        <w:t xml:space="preserve"> und von der Sachlage unbefriedigend ist</w:t>
      </w:r>
      <w:r w:rsidR="003A344A">
        <w:t>.</w:t>
      </w:r>
    </w:p>
    <w:p w:rsidR="00CE2445" w:rsidRDefault="003A344A" w:rsidP="000F7A9D">
      <w:pPr>
        <w:spacing w:after="0"/>
        <w:ind w:firstLine="708"/>
        <w:jc w:val="both"/>
      </w:pPr>
      <w:r>
        <w:t xml:space="preserve">Mit der </w:t>
      </w:r>
      <w:r w:rsidR="00D31421">
        <w:t>Vernachlässigung der verbliebenen Reste kulturellen Lebens</w:t>
      </w:r>
      <w:r>
        <w:t xml:space="preserve"> g</w:t>
      </w:r>
      <w:r w:rsidR="00D31421">
        <w:t>ing</w:t>
      </w:r>
      <w:r>
        <w:t xml:space="preserve"> einher, dass auch die Bedeutung der </w:t>
      </w:r>
      <w:r w:rsidR="006E3BDD" w:rsidRPr="003A344A">
        <w:rPr>
          <w:i/>
        </w:rPr>
        <w:t>autobiografischen</w:t>
      </w:r>
      <w:r w:rsidR="00CE2445" w:rsidRPr="003A344A">
        <w:rPr>
          <w:i/>
        </w:rPr>
        <w:t xml:space="preserve"> Literatur</w:t>
      </w:r>
      <w:r>
        <w:t>, die als direkte Antwort auf Stigmatisi</w:t>
      </w:r>
      <w:r>
        <w:t>e</w:t>
      </w:r>
      <w:r>
        <w:t>rung, Entrechtung und Terror zwischen 1933 und 1945 in Deutschland entstand</w:t>
      </w:r>
      <w:r w:rsidR="00D31421">
        <w:t>en war</w:t>
      </w:r>
      <w:r>
        <w:t>, z</w:t>
      </w:r>
      <w:r>
        <w:t>u</w:t>
      </w:r>
      <w:r>
        <w:t xml:space="preserve">nächst einmal </w:t>
      </w:r>
      <w:r w:rsidR="00F11344">
        <w:t>keine Berücksichtigung fand</w:t>
      </w:r>
      <w:r w:rsidR="00BE2BC7">
        <w:t xml:space="preserve"> und </w:t>
      </w:r>
      <w:r w:rsidR="00D31421">
        <w:t xml:space="preserve">sie </w:t>
      </w:r>
      <w:r w:rsidR="00BE2BC7">
        <w:t xml:space="preserve">– von wenigen Ausnahmen abgesehen – </w:t>
      </w:r>
      <w:r w:rsidR="00BE2BC7">
        <w:lastRenderedPageBreak/>
        <w:t>allenfalls von Historikern rezipiert w</w:t>
      </w:r>
      <w:r w:rsidR="00D31421">
        <w:t>u</w:t>
      </w:r>
      <w:r w:rsidR="00BE2BC7">
        <w:t>rde</w:t>
      </w:r>
      <w:r w:rsidR="00CE2445">
        <w:t>.</w:t>
      </w:r>
      <w:r>
        <w:t xml:space="preserve"> Die Bedeutung dieser literarischen Zeugnisse </w:t>
      </w:r>
      <w:r w:rsidR="00D31421">
        <w:t>ist</w:t>
      </w:r>
      <w:r>
        <w:t xml:space="preserve"> a</w:t>
      </w:r>
      <w:r w:rsidR="00D31421">
        <w:t>m Beispiel</w:t>
      </w:r>
      <w:r>
        <w:t xml:space="preserve"> de</w:t>
      </w:r>
      <w:r w:rsidR="00D31421">
        <w:t>r</w:t>
      </w:r>
      <w:r>
        <w:t xml:space="preserve"> Tagebücher Victor Klemperer</w:t>
      </w:r>
      <w:r w:rsidR="00D31421">
        <w:t>s oder</w:t>
      </w:r>
      <w:r>
        <w:t xml:space="preserve"> Willy Cohns</w:t>
      </w:r>
      <w:r w:rsidR="00D31421">
        <w:t>, auch am Beispiel</w:t>
      </w:r>
      <w:r>
        <w:t xml:space="preserve"> </w:t>
      </w:r>
      <w:r w:rsidR="00D31421">
        <w:t>des</w:t>
      </w:r>
      <w:r>
        <w:t xml:space="preserve"> Briefwechsel</w:t>
      </w:r>
      <w:r w:rsidR="00D31421">
        <w:t>s</w:t>
      </w:r>
      <w:r>
        <w:t xml:space="preserve">, den </w:t>
      </w:r>
      <w:r w:rsidR="00D31421">
        <w:t xml:space="preserve">Lilly Jahn </w:t>
      </w:r>
      <w:r>
        <w:t xml:space="preserve">nach ihrer </w:t>
      </w:r>
      <w:r w:rsidR="00D31421">
        <w:t xml:space="preserve">Scheidung von ihrem „arischen“ Ehemann und der </w:t>
      </w:r>
      <w:r>
        <w:t>Überweisung in ein Arbeitslager mit ihren Töchtern führte,</w:t>
      </w:r>
      <w:r>
        <w:rPr>
          <w:rStyle w:val="Funotenzeichen"/>
        </w:rPr>
        <w:footnoteReference w:id="16"/>
      </w:r>
      <w:r>
        <w:t xml:space="preserve"> klar erkennbar</w:t>
      </w:r>
      <w:r w:rsidR="00FB626B">
        <w:t xml:space="preserve">. </w:t>
      </w:r>
      <w:r w:rsidR="00D31421">
        <w:t xml:space="preserve">Dass diese scheinbar private Literatur für die Wissenschaft relevant ist, ist gar keine Frage. </w:t>
      </w:r>
      <w:r w:rsidR="00BE2BC7">
        <w:t>– Hierauf wird noch einzugehen sein.</w:t>
      </w:r>
    </w:p>
    <w:p w:rsidR="00D13580" w:rsidRDefault="00CA2435" w:rsidP="000F7A9D">
      <w:pPr>
        <w:spacing w:after="0"/>
        <w:ind w:firstLine="708"/>
        <w:jc w:val="both"/>
      </w:pPr>
      <w:r>
        <w:t>Vielleicht noch folgenreicher war</w:t>
      </w:r>
      <w:r w:rsidR="00FB626B">
        <w:t xml:space="preserve"> </w:t>
      </w:r>
      <w:r w:rsidR="00B346B9">
        <w:t>die Tatsache, dass die literaturwissenschaftliche Exilforschung weitgehend den Bahnen folgte, die durch das Selbstverständnis des Schriftste</w:t>
      </w:r>
      <w:r w:rsidR="00B346B9">
        <w:t>l</w:t>
      </w:r>
      <w:r w:rsidR="00B346B9">
        <w:t>ler</w:t>
      </w:r>
      <w:r w:rsidR="00763A8F">
        <w:t>e</w:t>
      </w:r>
      <w:r w:rsidR="00B346B9">
        <w:t xml:space="preserve">xils vorgezeichnet waren. Das „politische Exil“ </w:t>
      </w:r>
      <w:r w:rsidR="00D31421">
        <w:t>hatte</w:t>
      </w:r>
      <w:r w:rsidR="00B346B9">
        <w:t xml:space="preserve"> sich </w:t>
      </w:r>
      <w:r w:rsidR="00D13580">
        <w:t xml:space="preserve">zeitweilig vergleichsweise </w:t>
      </w:r>
      <w:r w:rsidR="00B346B9">
        <w:t>poi</w:t>
      </w:r>
      <w:r w:rsidR="00B346B9">
        <w:t>n</w:t>
      </w:r>
      <w:r w:rsidR="00B346B9">
        <w:t xml:space="preserve">tiert </w:t>
      </w:r>
      <w:r w:rsidR="00D31421">
        <w:t xml:space="preserve">vom Rest der Emigration: </w:t>
      </w:r>
      <w:r w:rsidR="00B346B9">
        <w:t>von den „Wirtschaftsemigranten“ bzw. den „unpolitischen“ Emigranten</w:t>
      </w:r>
      <w:r w:rsidR="00D31421">
        <w:t>,</w:t>
      </w:r>
      <w:r w:rsidR="00B346B9">
        <w:t xml:space="preserve"> </w:t>
      </w:r>
      <w:r w:rsidR="00D13580">
        <w:t>ab</w:t>
      </w:r>
      <w:r w:rsidR="00D31421">
        <w:t>gegrenzt</w:t>
      </w:r>
      <w:r w:rsidR="00D13580">
        <w:t>. Wie in anderen Migrationsbewegungen auch bestanden in der deutschsprachigen Emigration Unterschiede der sozialen, kulturellen wie auch politischen Milieus, aus denen sich die Migranten rekrutierten. Eine Überbetonung dieser Unterschiede führt jedoch in die Irre, weil damit grundlegende Gemeinsamkeiten aus dem Blickfeld ger</w:t>
      </w:r>
      <w:r w:rsidR="00D13580">
        <w:t>a</w:t>
      </w:r>
      <w:r w:rsidR="00D13580">
        <w:t>ten.</w:t>
      </w:r>
      <w:r w:rsidR="00D13DDD">
        <w:rPr>
          <w:rStyle w:val="Funotenzeichen"/>
        </w:rPr>
        <w:footnoteReference w:id="17"/>
      </w:r>
      <w:r w:rsidR="00D13DDD">
        <w:t xml:space="preserve"> </w:t>
      </w:r>
      <w:r w:rsidR="00BC59DC">
        <w:t xml:space="preserve">Auch hier genügt ein Blick auf die Unterschiedlichkeit der Texte. </w:t>
      </w:r>
      <w:r w:rsidR="00D13580">
        <w:t xml:space="preserve">Ein Bestandteil der Exilliteratur sind – um ein Beispiel zu benennen – nicht nur die ‚politischen‘ Romane Lion Feuchtwangers, </w:t>
      </w:r>
      <w:r w:rsidR="00D13DDD">
        <w:t>sondern auch der – durchaus different strukturierte – autobiografische Bericht seines Bruders Martin.</w:t>
      </w:r>
      <w:r w:rsidR="00D13DDD">
        <w:rPr>
          <w:rStyle w:val="Funotenzeichen"/>
        </w:rPr>
        <w:footnoteReference w:id="18"/>
      </w:r>
    </w:p>
    <w:p w:rsidR="00E836CB" w:rsidRDefault="00F50168" w:rsidP="000F7A9D">
      <w:pPr>
        <w:spacing w:after="0"/>
        <w:ind w:firstLine="708"/>
        <w:jc w:val="both"/>
      </w:pPr>
      <w:r>
        <w:t>D</w:t>
      </w:r>
      <w:r w:rsidR="00BC59DC">
        <w:t>er Grund für d</w:t>
      </w:r>
      <w:r>
        <w:t>ie</w:t>
      </w:r>
      <w:r w:rsidR="00BC59DC">
        <w:t xml:space="preserve"> Verkennung der Problemlage ist, dass in der Literaturwissenschaft die </w:t>
      </w:r>
      <w:r>
        <w:t xml:space="preserve">enge </w:t>
      </w:r>
      <w:r w:rsidR="006971FE">
        <w:t xml:space="preserve">Verbindung von politischer und rassistischer Verfolgung </w:t>
      </w:r>
      <w:r w:rsidR="00BC59DC">
        <w:t>in der Spezifik ihrer Au</w:t>
      </w:r>
      <w:r w:rsidR="00BC59DC">
        <w:t>s</w:t>
      </w:r>
      <w:r w:rsidR="00BC59DC">
        <w:t>wirkungen nicht hinreichend klar erkannt wurde. Die</w:t>
      </w:r>
      <w:r w:rsidR="004B1A26">
        <w:t xml:space="preserve"> nationalsozialistische Politik</w:t>
      </w:r>
      <w:r w:rsidR="00BC59DC">
        <w:t xml:space="preserve"> war auf </w:t>
      </w:r>
      <w:r w:rsidR="006971FE">
        <w:t>die Etablierung des „totalen Staates“</w:t>
      </w:r>
      <w:r w:rsidR="00BC59DC">
        <w:t xml:space="preserve"> ausgerichtet</w:t>
      </w:r>
      <w:r w:rsidR="004B1A26">
        <w:t>;</w:t>
      </w:r>
      <w:r w:rsidR="00230413">
        <w:t xml:space="preserve"> d</w:t>
      </w:r>
      <w:r>
        <w:t xml:space="preserve">ie </w:t>
      </w:r>
      <w:r w:rsidR="006971FE">
        <w:t>Voraussetzung hierfür war die Elimini</w:t>
      </w:r>
      <w:r w:rsidR="006971FE">
        <w:t>e</w:t>
      </w:r>
      <w:r w:rsidR="006971FE">
        <w:t>rung des „inneren Feindes“. D</w:t>
      </w:r>
      <w:r w:rsidR="004B1A26">
        <w:t>ies</w:t>
      </w:r>
      <w:r w:rsidR="006971FE">
        <w:t xml:space="preserve">er „innere Feind“ </w:t>
      </w:r>
      <w:r>
        <w:t xml:space="preserve">aber </w:t>
      </w:r>
      <w:r w:rsidR="006971FE">
        <w:t xml:space="preserve">wurde für die nationalsozialistischen Ideologen </w:t>
      </w:r>
      <w:r w:rsidR="00230413">
        <w:t>insbesondere</w:t>
      </w:r>
      <w:r>
        <w:t xml:space="preserve"> durch die </w:t>
      </w:r>
      <w:r w:rsidR="006049DF">
        <w:t>„</w:t>
      </w:r>
      <w:r>
        <w:t xml:space="preserve">Juden“ und den „jüdischen Geist“ </w:t>
      </w:r>
      <w:r w:rsidR="006971FE">
        <w:t>repräsentiert</w:t>
      </w:r>
      <w:r>
        <w:t xml:space="preserve">. </w:t>
      </w:r>
      <w:r w:rsidR="00BC59DC">
        <w:t>Um Deutschland kriegs</w:t>
      </w:r>
      <w:r w:rsidR="00BC59DC" w:rsidRPr="00E836CB">
        <w:t>fähig</w:t>
      </w:r>
      <w:r w:rsidR="00BC59DC">
        <w:t xml:space="preserve"> zu machen, musste es also zunächst einmal „judenrein“ gemacht werden</w:t>
      </w:r>
      <w:r w:rsidR="00BC59DC" w:rsidRPr="00E836CB">
        <w:t>.</w:t>
      </w:r>
      <w:r w:rsidR="00BC59DC">
        <w:rPr>
          <w:rStyle w:val="Funotenzeichen"/>
        </w:rPr>
        <w:footnoteReference w:id="19"/>
      </w:r>
      <w:r w:rsidR="00BC59DC">
        <w:t xml:space="preserve"> </w:t>
      </w:r>
      <w:r w:rsidR="004B1A26">
        <w:t>In den Augen der Nationalsozialisten war d</w:t>
      </w:r>
      <w:r>
        <w:t>ie Republik ein Werk der Jude</w:t>
      </w:r>
      <w:r w:rsidR="00230413">
        <w:t>n</w:t>
      </w:r>
      <w:r w:rsidR="00BC59DC">
        <w:t>. Ihne</w:t>
      </w:r>
      <w:r w:rsidR="00E836CB">
        <w:t>n wurde die Schuld an der Niederlage im Weltkrieg und an der Revolution angelastet</w:t>
      </w:r>
      <w:r w:rsidR="004B1A26">
        <w:t>;</w:t>
      </w:r>
      <w:r w:rsidR="00E836CB">
        <w:t xml:space="preserve"> der B</w:t>
      </w:r>
      <w:r w:rsidR="00E836CB">
        <w:t>e</w:t>
      </w:r>
      <w:r w:rsidR="00E836CB">
        <w:t>griff „Jude“ wurde mit den Begriffen „Marxismus“ und „Bolschewismus“ gleichgesetzt.</w:t>
      </w:r>
      <w:r w:rsidR="00E836CB">
        <w:rPr>
          <w:rStyle w:val="Funotenzeichen"/>
        </w:rPr>
        <w:footnoteReference w:id="20"/>
      </w:r>
      <w:r w:rsidR="006971FE">
        <w:t xml:space="preserve"> </w:t>
      </w:r>
    </w:p>
    <w:p w:rsidR="00E711D1" w:rsidRDefault="00E711D1" w:rsidP="000F7A9D">
      <w:pPr>
        <w:spacing w:after="0"/>
        <w:ind w:firstLine="708"/>
        <w:jc w:val="both"/>
      </w:pPr>
    </w:p>
    <w:p w:rsidR="006E2817" w:rsidRDefault="00BC59DC" w:rsidP="000F7A9D">
      <w:pPr>
        <w:spacing w:after="0"/>
        <w:ind w:firstLine="708"/>
        <w:jc w:val="both"/>
      </w:pPr>
      <w:r>
        <w:t xml:space="preserve">Welche Tragweite die Verfolgungs- und Vernichtungspolitik </w:t>
      </w:r>
      <w:r w:rsidR="00824F2B">
        <w:t xml:space="preserve">hatte </w:t>
      </w:r>
      <w:r>
        <w:t xml:space="preserve">und welche Folgen </w:t>
      </w:r>
      <w:r w:rsidR="00824F2B">
        <w:t xml:space="preserve">mit </w:t>
      </w:r>
      <w:r>
        <w:t>de</w:t>
      </w:r>
      <w:r w:rsidR="00824F2B">
        <w:t>n</w:t>
      </w:r>
      <w:r w:rsidR="00805B12" w:rsidRPr="00D229D8">
        <w:t xml:space="preserve"> Eingriffe</w:t>
      </w:r>
      <w:r w:rsidR="00824F2B">
        <w:t>n in das</w:t>
      </w:r>
      <w:r w:rsidR="00824F2B" w:rsidRPr="00D229D8">
        <w:t xml:space="preserve"> literarische System</w:t>
      </w:r>
      <w:r w:rsidR="00824F2B">
        <w:t xml:space="preserve">, die aus dieser </w:t>
      </w:r>
      <w:r w:rsidR="00824F2B" w:rsidRPr="00D229D8">
        <w:t>Politik</w:t>
      </w:r>
      <w:r w:rsidR="00A77B6E">
        <w:t xml:space="preserve"> </w:t>
      </w:r>
      <w:r w:rsidR="00824F2B">
        <w:t>resultierten,</w:t>
      </w:r>
      <w:r>
        <w:t xml:space="preserve"> </w:t>
      </w:r>
      <w:r w:rsidR="00A77B6E">
        <w:t xml:space="preserve">verbunden </w:t>
      </w:r>
      <w:r w:rsidR="00805B12" w:rsidRPr="00D229D8">
        <w:t xml:space="preserve">waren, </w:t>
      </w:r>
      <w:r>
        <w:t xml:space="preserve">wird z.T. erst aus heutiger Perspektive erkennbar. </w:t>
      </w:r>
      <w:r w:rsidR="00757E16">
        <w:t xml:space="preserve">Ein </w:t>
      </w:r>
      <w:r w:rsidR="00F814DE">
        <w:t xml:space="preserve">Teil </w:t>
      </w:r>
      <w:r w:rsidR="00757E16">
        <w:t>der</w:t>
      </w:r>
      <w:r w:rsidR="00F814DE">
        <w:t xml:space="preserve"> Auswirkungen</w:t>
      </w:r>
      <w:r w:rsidR="00F814DE" w:rsidRPr="00D229D8">
        <w:t xml:space="preserve"> </w:t>
      </w:r>
      <w:r w:rsidR="00757E16">
        <w:t xml:space="preserve">war </w:t>
      </w:r>
      <w:r w:rsidR="00F814DE" w:rsidRPr="00D229D8">
        <w:t>i</w:t>
      </w:r>
      <w:r w:rsidR="00F814DE" w:rsidRPr="00D229D8">
        <w:t>r</w:t>
      </w:r>
      <w:r w:rsidR="00F814DE" w:rsidRPr="00D229D8">
        <w:t>reversib</w:t>
      </w:r>
      <w:r w:rsidR="00F814DE">
        <w:t>el.</w:t>
      </w:r>
      <w:r w:rsidR="00757E16">
        <w:t xml:space="preserve"> Die Eingriffe</w:t>
      </w:r>
      <w:r w:rsidR="00A77B6E">
        <w:t xml:space="preserve"> trafen</w:t>
      </w:r>
      <w:r w:rsidR="00940F7A">
        <w:t xml:space="preserve"> </w:t>
      </w:r>
      <w:r w:rsidR="00C75EB1">
        <w:t>d</w:t>
      </w:r>
      <w:r w:rsidR="00805B12" w:rsidRPr="00940F7A">
        <w:t>i</w:t>
      </w:r>
      <w:r w:rsidR="00BD1272" w:rsidRPr="00940F7A">
        <w:t>e</w:t>
      </w:r>
      <w:r w:rsidR="00BD1272" w:rsidRPr="00D229D8">
        <w:t xml:space="preserve"> </w:t>
      </w:r>
      <w:r w:rsidR="00805B12" w:rsidRPr="00D229D8">
        <w:t>Gruppe</w:t>
      </w:r>
      <w:r w:rsidR="00BD1272" w:rsidRPr="00D229D8">
        <w:t xml:space="preserve"> der </w:t>
      </w:r>
      <w:r w:rsidR="00805B12" w:rsidRPr="00D229D8">
        <w:t xml:space="preserve">literarischen </w:t>
      </w:r>
      <w:r w:rsidR="00BD1272" w:rsidRPr="00D229D8">
        <w:t xml:space="preserve">Autoren, </w:t>
      </w:r>
      <w:r w:rsidR="00C75EB1">
        <w:t xml:space="preserve">aber </w:t>
      </w:r>
      <w:r w:rsidR="00757E16">
        <w:t>ebenso</w:t>
      </w:r>
      <w:r w:rsidR="00940F7A">
        <w:rPr>
          <w:i/>
        </w:rPr>
        <w:t xml:space="preserve"> </w:t>
      </w:r>
      <w:r w:rsidR="00BD1272" w:rsidRPr="00D229D8">
        <w:t>das Produ</w:t>
      </w:r>
      <w:r w:rsidR="00BD1272" w:rsidRPr="00D229D8">
        <w:t>k</w:t>
      </w:r>
      <w:r w:rsidR="00BD1272" w:rsidRPr="00D229D8">
        <w:t xml:space="preserve">tions- und </w:t>
      </w:r>
      <w:r w:rsidR="00A736A7">
        <w:t>Distributions</w:t>
      </w:r>
      <w:r w:rsidR="00BD1272" w:rsidRPr="00D229D8">
        <w:t>system</w:t>
      </w:r>
      <w:r w:rsidR="00C56E44" w:rsidRPr="00D229D8">
        <w:t xml:space="preserve">, denn aufgrund rassistischer Verfolgung mussten auch </w:t>
      </w:r>
      <w:r w:rsidR="00EE4292" w:rsidRPr="00D229D8">
        <w:t>die j</w:t>
      </w:r>
      <w:r w:rsidR="00EE4292" w:rsidRPr="00D229D8">
        <w:t>ü</w:t>
      </w:r>
      <w:r w:rsidR="00EE4292" w:rsidRPr="00D229D8">
        <w:t xml:space="preserve">dischen </w:t>
      </w:r>
      <w:r w:rsidR="00C56E44" w:rsidRPr="00D229D8">
        <w:t>Verleger, Sortimenter und Buchhändler Deutschland verlassen</w:t>
      </w:r>
      <w:r w:rsidR="00C75EB1">
        <w:t>. Sie betrafen</w:t>
      </w:r>
      <w:r w:rsidR="00940F7A">
        <w:rPr>
          <w:i/>
        </w:rPr>
        <w:t xml:space="preserve"> </w:t>
      </w:r>
      <w:r w:rsidR="00BD1272" w:rsidRPr="00D229D8">
        <w:t>die Pu</w:t>
      </w:r>
      <w:r w:rsidR="00BD1272" w:rsidRPr="00D229D8">
        <w:t>b</w:t>
      </w:r>
      <w:r w:rsidR="00BD1272" w:rsidRPr="00D229D8">
        <w:t>likumsstruktur</w:t>
      </w:r>
      <w:r w:rsidR="00A736A7">
        <w:t xml:space="preserve"> – </w:t>
      </w:r>
      <w:r w:rsidR="00C75EB1">
        <w:t xml:space="preserve">denn </w:t>
      </w:r>
      <w:r w:rsidR="00A736A7">
        <w:t>m</w:t>
      </w:r>
      <w:r w:rsidR="00C56E44" w:rsidRPr="00D229D8">
        <w:t xml:space="preserve">it der Vertreibung der jüdischen Bevölkerungsgruppe veränderte sich </w:t>
      </w:r>
      <w:r w:rsidR="00FE02A4">
        <w:t>auch</w:t>
      </w:r>
      <w:r w:rsidR="00C56E44" w:rsidRPr="00D229D8">
        <w:t xml:space="preserve"> die Leserschaft</w:t>
      </w:r>
      <w:r w:rsidR="00A736A7">
        <w:t xml:space="preserve"> </w:t>
      </w:r>
      <w:r w:rsidR="00757E16">
        <w:t>– s</w:t>
      </w:r>
      <w:r w:rsidR="00FE02A4">
        <w:t xml:space="preserve">owie </w:t>
      </w:r>
      <w:r w:rsidR="00FE02A4" w:rsidRPr="00D229D8">
        <w:t>die Rezeptionsgewohnheiten</w:t>
      </w:r>
      <w:r w:rsidR="00C56E44" w:rsidRPr="00D229D8">
        <w:t>, d</w:t>
      </w:r>
      <w:r w:rsidR="00824F2B">
        <w:t>a</w:t>
      </w:r>
      <w:r w:rsidR="00C56E44" w:rsidRPr="00D229D8">
        <w:t xml:space="preserve"> </w:t>
      </w:r>
      <w:r w:rsidR="00940F7A">
        <w:t xml:space="preserve">nicht nur </w:t>
      </w:r>
      <w:r w:rsidR="00C56E44" w:rsidRPr="00D229D8">
        <w:t xml:space="preserve">die </w:t>
      </w:r>
      <w:r w:rsidR="00C81D73" w:rsidRPr="00D229D8">
        <w:t xml:space="preserve">deutschsprachige </w:t>
      </w:r>
      <w:r w:rsidR="00C56E44" w:rsidRPr="00D229D8">
        <w:lastRenderedPageBreak/>
        <w:t>literarische Avantgarde vertrieben bzw. mit Publikationsverbot belegt</w:t>
      </w:r>
      <w:r w:rsidR="00824F2B">
        <w:t xml:space="preserve"> wurde</w:t>
      </w:r>
      <w:r w:rsidR="00FE02A4">
        <w:t>,</w:t>
      </w:r>
      <w:r w:rsidR="00C56E44" w:rsidRPr="00D229D8">
        <w:rPr>
          <w:rStyle w:val="Funotenzeichen"/>
        </w:rPr>
        <w:footnoteReference w:id="21"/>
      </w:r>
      <w:r w:rsidR="00C56E44" w:rsidRPr="00D229D8">
        <w:t xml:space="preserve"> </w:t>
      </w:r>
      <w:r w:rsidR="00FE02A4">
        <w:t>sondern a</w:t>
      </w:r>
      <w:r w:rsidR="00940F7A">
        <w:t>uch die</w:t>
      </w:r>
      <w:r w:rsidR="00C56E44" w:rsidRPr="00D229D8">
        <w:t xml:space="preserve"> </w:t>
      </w:r>
      <w:r w:rsidR="00824F2B">
        <w:t xml:space="preserve">Verbreitung von Übersetzungen der europäischen und außereuropäischen </w:t>
      </w:r>
      <w:r w:rsidR="00C81D73" w:rsidRPr="00D229D8">
        <w:t xml:space="preserve">Literatur </w:t>
      </w:r>
      <w:r w:rsidR="00824F2B">
        <w:t>stark eingeschränkt wurde</w:t>
      </w:r>
      <w:r w:rsidR="00C81D73" w:rsidRPr="00D229D8">
        <w:t>.</w:t>
      </w:r>
      <w:r w:rsidR="00E711D1">
        <w:t xml:space="preserve"> </w:t>
      </w:r>
    </w:p>
    <w:p w:rsidR="007A1A8E" w:rsidRDefault="00757E16" w:rsidP="000F7A9D">
      <w:pPr>
        <w:spacing w:after="0"/>
        <w:ind w:firstLine="708"/>
        <w:jc w:val="both"/>
      </w:pPr>
      <w:r>
        <w:t>Durch die</w:t>
      </w:r>
      <w:r w:rsidR="00B61775">
        <w:t xml:space="preserve"> Vertreibung und Vernichtung der deutschen Juden </w:t>
      </w:r>
      <w:r>
        <w:t>veränderte sich das ku</w:t>
      </w:r>
      <w:r>
        <w:t>l</w:t>
      </w:r>
      <w:r>
        <w:t>turelle Leben in Deutschland</w:t>
      </w:r>
      <w:r w:rsidR="007A1A8E" w:rsidRPr="00D229D8">
        <w:t>. Durch ihren literarischen Beitrag, ihren Bildungsstand und ihre Begabungen hatte die jüdische Bevölkerungsgruppe die deutschsprachige Literatur während des 19. und des beginnenden 20. Jahrhunderts entscheidend geprägt. Das literarisch intere</w:t>
      </w:r>
      <w:r w:rsidR="007A1A8E" w:rsidRPr="00D229D8">
        <w:t>s</w:t>
      </w:r>
      <w:r w:rsidR="007A1A8E" w:rsidRPr="00D229D8">
        <w:t xml:space="preserve">sierte jüdische Lesepublikums hatte einen wichtigen Teil der </w:t>
      </w:r>
      <w:r>
        <w:t>literarisch-kulturell interessie</w:t>
      </w:r>
      <w:r>
        <w:t>r</w:t>
      </w:r>
      <w:r>
        <w:t xml:space="preserve">ten </w:t>
      </w:r>
      <w:r w:rsidR="007A1A8E" w:rsidRPr="00D229D8">
        <w:t xml:space="preserve">Öffentlichkeit repräsentiert. </w:t>
      </w:r>
      <w:r>
        <w:t>– D</w:t>
      </w:r>
      <w:r w:rsidR="007A1A8E" w:rsidRPr="00D229D8">
        <w:t xml:space="preserve">ie nationalsozialistische Verfolgungspolitik beendete </w:t>
      </w:r>
      <w:r w:rsidR="00B61775">
        <w:t>de</w:t>
      </w:r>
      <w:r w:rsidR="00B61775">
        <w:t>s</w:t>
      </w:r>
      <w:r w:rsidR="00B61775">
        <w:t xml:space="preserve">halb </w:t>
      </w:r>
      <w:r w:rsidR="007A1A8E" w:rsidRPr="00D229D8">
        <w:t>diese kurze, jedoch besonders glanzvolle Phase der literarischen Entwicklung innerhalb des deutschsprachigen Kulturraums: die legendäre Periode der deutsch-jüdischen Symbiose. Sie hatte im 18. Jahrhundert mit der kreativen Rezeption der deutschen Kultur durch die jüd</w:t>
      </w:r>
      <w:r w:rsidR="007A1A8E" w:rsidRPr="00D229D8">
        <w:t>i</w:t>
      </w:r>
      <w:r w:rsidR="007A1A8E" w:rsidRPr="00D229D8">
        <w:t>sche Bevölkerungsgruppe begonnen. Der Höhepunkt lag zweifelsohne in den ersten Jahrzeh</w:t>
      </w:r>
      <w:r w:rsidR="007A1A8E" w:rsidRPr="00D229D8">
        <w:t>n</w:t>
      </w:r>
      <w:r w:rsidR="007A1A8E" w:rsidRPr="00D229D8">
        <w:t>ten des 20. Jahrhunderts: in dem Beitrag jüdischer Autoren</w:t>
      </w:r>
      <w:r w:rsidR="005774E5">
        <w:t>, Literatur- und Theaterkritiker und jüdischer Literaturtheoretiker</w:t>
      </w:r>
      <w:r w:rsidR="007A1A8E" w:rsidRPr="00D229D8">
        <w:t xml:space="preserve"> an der Entwicklung des Expressionismus und der Neuen Sac</w:t>
      </w:r>
      <w:r w:rsidR="007A1A8E" w:rsidRPr="00D229D8">
        <w:t>h</w:t>
      </w:r>
      <w:r w:rsidR="007A1A8E" w:rsidRPr="00D229D8">
        <w:t>lichkeit, der Zeitdramatik der Weimarer Republik und des modernen avantgardistischen R</w:t>
      </w:r>
      <w:r w:rsidR="007A1A8E" w:rsidRPr="00D229D8">
        <w:t>o</w:t>
      </w:r>
      <w:r w:rsidR="007A1A8E" w:rsidRPr="00D229D8">
        <w:t xml:space="preserve">mans. </w:t>
      </w:r>
    </w:p>
    <w:p w:rsidR="004B1A26" w:rsidRDefault="004B1A26" w:rsidP="000F7A9D">
      <w:pPr>
        <w:spacing w:after="0"/>
        <w:ind w:firstLine="708"/>
        <w:jc w:val="both"/>
      </w:pPr>
    </w:p>
    <w:p w:rsidR="00C86C5D" w:rsidRDefault="007D2532" w:rsidP="000F7A9D">
      <w:pPr>
        <w:spacing w:after="0"/>
        <w:ind w:firstLine="708"/>
        <w:jc w:val="both"/>
      </w:pPr>
      <w:r>
        <w:t>Mit de</w:t>
      </w:r>
      <w:r w:rsidR="00824F2B">
        <w:t>m Epochenbruch, der durch den Nationalsozialismus ausgelöst wurde, steht in unmittelbarem Zusammen</w:t>
      </w:r>
      <w:r w:rsidR="000D6DBA">
        <w:t>hang</w:t>
      </w:r>
      <w:r w:rsidR="00824F2B">
        <w:t>, dass es auch nach Ende des Dritten Reiches nur zu einem geringen Teil gelang, die im Exil entstandene Literatur in den Gesamtzusammenhang der deutschsprachigen Literatur zurückzuführen.</w:t>
      </w:r>
      <w:r>
        <w:t xml:space="preserve"> </w:t>
      </w:r>
      <w:r w:rsidR="00B62A41">
        <w:t>Bedeutende</w:t>
      </w:r>
      <w:r w:rsidR="00DA47AD">
        <w:t>,</w:t>
      </w:r>
      <w:r w:rsidR="00C86C5D">
        <w:t xml:space="preserve"> im Exil entstandene Werke zentr</w:t>
      </w:r>
      <w:r w:rsidR="00C86C5D">
        <w:t>a</w:t>
      </w:r>
      <w:r w:rsidR="00C86C5D">
        <w:t xml:space="preserve">ler </w:t>
      </w:r>
      <w:r w:rsidR="00DA47AD">
        <w:t>literarischer</w:t>
      </w:r>
      <w:r w:rsidR="00C86C5D">
        <w:t xml:space="preserve"> Autoren wie Döblin oder Heinrich Mann wurden mit jahrzehntelanger Ve</w:t>
      </w:r>
      <w:r w:rsidR="00C86C5D">
        <w:t>r</w:t>
      </w:r>
      <w:r w:rsidR="00C86C5D">
        <w:t xml:space="preserve">spätung wieder veröffentlicht; Teile des publizistischen </w:t>
      </w:r>
      <w:proofErr w:type="spellStart"/>
      <w:r w:rsidR="00C86C5D">
        <w:t>Œuvres</w:t>
      </w:r>
      <w:proofErr w:type="spellEnd"/>
      <w:r w:rsidR="00C86C5D">
        <w:t xml:space="preserve"> dieser Autoren sind </w:t>
      </w:r>
      <w:r w:rsidR="00DA47AD">
        <w:t>sogar noch heute</w:t>
      </w:r>
      <w:r w:rsidR="00C86C5D">
        <w:t xml:space="preserve"> nicht erreichbar. </w:t>
      </w:r>
      <w:r w:rsidR="00DA47AD">
        <w:t>Erschwerend wirkte sich dabei aus, dass mit dem Ende des Dri</w:t>
      </w:r>
      <w:r w:rsidR="00DA47AD">
        <w:t>t</w:t>
      </w:r>
      <w:r w:rsidR="00DA47AD">
        <w:t>ten Reiches auch der einheitliche kulturelle Raum, in dem die deutsche Literatur zuvor pr</w:t>
      </w:r>
      <w:r w:rsidR="00DA47AD">
        <w:t>ä</w:t>
      </w:r>
      <w:r w:rsidR="00DA47AD">
        <w:t>sent gewesen war, nicht mehr vorhanden war. Der Antagonismus speziell zwischen der BRD und der DDR schlug sich u.a. auch in differenten Formen des historisch-literarischen Tradit</w:t>
      </w:r>
      <w:r w:rsidR="00DA47AD">
        <w:t>i</w:t>
      </w:r>
      <w:r w:rsidR="00DA47AD">
        <w:t xml:space="preserve">onsbezuges nieder. Das hatte direkte Auswirkungen auch auf die Rezeption der Exilliteratur. </w:t>
      </w:r>
      <w:r w:rsidR="00C86C5D">
        <w:t xml:space="preserve">Die Wiedervereinigung Deutschlands hat </w:t>
      </w:r>
      <w:r w:rsidR="00B62A41">
        <w:t>in dieser Hinsicht</w:t>
      </w:r>
      <w:r w:rsidR="00C86C5D">
        <w:t xml:space="preserve"> kaum Auswirkungen gehabt</w:t>
      </w:r>
      <w:r w:rsidR="00B62A41">
        <w:t>.</w:t>
      </w:r>
      <w:r w:rsidR="00DC061D">
        <w:t xml:space="preserve"> Im Gegenteil</w:t>
      </w:r>
      <w:r w:rsidR="00521A5F">
        <w:t xml:space="preserve">: </w:t>
      </w:r>
      <w:r w:rsidR="00DC061D">
        <w:t xml:space="preserve">Mit dem Untergang der DDR </w:t>
      </w:r>
      <w:r w:rsidR="00DA47AD">
        <w:t>verschwanden auch</w:t>
      </w:r>
      <w:r w:rsidR="00DC061D">
        <w:t xml:space="preserve"> </w:t>
      </w:r>
      <w:r w:rsidR="00521A5F">
        <w:t xml:space="preserve">Autoren wie </w:t>
      </w:r>
      <w:r w:rsidR="00653E4C">
        <w:t xml:space="preserve">Adam </w:t>
      </w:r>
      <w:r w:rsidR="00521A5F">
        <w:t xml:space="preserve">Scharrer, </w:t>
      </w:r>
      <w:r w:rsidR="00653E4C">
        <w:t xml:space="preserve">Hans </w:t>
      </w:r>
      <w:proofErr w:type="spellStart"/>
      <w:r w:rsidR="00521A5F">
        <w:t>Marchwitza</w:t>
      </w:r>
      <w:proofErr w:type="spellEnd"/>
      <w:r w:rsidR="00521A5F">
        <w:t xml:space="preserve">, </w:t>
      </w:r>
      <w:r w:rsidR="00653E4C">
        <w:t xml:space="preserve">Willi </w:t>
      </w:r>
      <w:proofErr w:type="spellStart"/>
      <w:r w:rsidR="00521A5F">
        <w:t>Bredel</w:t>
      </w:r>
      <w:proofErr w:type="spellEnd"/>
      <w:r w:rsidR="00521A5F">
        <w:t xml:space="preserve">, </w:t>
      </w:r>
      <w:r w:rsidR="00653E4C">
        <w:t xml:space="preserve">Bodo </w:t>
      </w:r>
      <w:proofErr w:type="spellStart"/>
      <w:r w:rsidR="00521A5F">
        <w:t>Uhse</w:t>
      </w:r>
      <w:proofErr w:type="spellEnd"/>
      <w:r w:rsidR="00521A5F">
        <w:t xml:space="preserve">, </w:t>
      </w:r>
      <w:r w:rsidR="00653E4C">
        <w:t xml:space="preserve">Friedrich </w:t>
      </w:r>
      <w:r w:rsidR="00521A5F">
        <w:t>Wolf</w:t>
      </w:r>
      <w:r w:rsidR="00DA47AD">
        <w:t xml:space="preserve"> vom Büchermarkt</w:t>
      </w:r>
      <w:r w:rsidR="00521A5F">
        <w:t xml:space="preserve">, deren Werk in der DDR </w:t>
      </w:r>
      <w:r w:rsidR="00DC061D">
        <w:t>gepflegt w</w:t>
      </w:r>
      <w:r w:rsidR="00DA47AD">
        <w:t>o</w:t>
      </w:r>
      <w:r w:rsidR="00DC061D">
        <w:t>rde</w:t>
      </w:r>
      <w:r w:rsidR="00DA47AD">
        <w:t>n war</w:t>
      </w:r>
      <w:r w:rsidR="00DC061D">
        <w:t xml:space="preserve"> und d</w:t>
      </w:r>
      <w:r w:rsidR="00DA47AD">
        <w:t>as</w:t>
      </w:r>
      <w:r w:rsidR="00DC061D">
        <w:t xml:space="preserve"> z.T. sogar Schullektüre </w:t>
      </w:r>
      <w:r w:rsidR="00DA47AD">
        <w:t xml:space="preserve">gewesen </w:t>
      </w:r>
      <w:r w:rsidR="00DC061D">
        <w:t>war</w:t>
      </w:r>
      <w:r w:rsidR="00DA47AD">
        <w:t>.</w:t>
      </w:r>
    </w:p>
    <w:p w:rsidR="000641E8" w:rsidRDefault="00DA47AD" w:rsidP="000F7A9D">
      <w:pPr>
        <w:spacing w:after="0"/>
        <w:ind w:firstLine="708"/>
        <w:jc w:val="both"/>
      </w:pPr>
      <w:r>
        <w:t>Inkohärenzen und Inkonsistenzen bestimmen bis in die Gegenwart das Bild der Liter</w:t>
      </w:r>
      <w:r>
        <w:t>a</w:t>
      </w:r>
      <w:r>
        <w:t>tur, die in unmittelbare</w:t>
      </w:r>
      <w:r w:rsidR="00402C2E">
        <w:t xml:space="preserve">r Verbindung mit der Verfolgungssituation entstanden ist. Das betrifft, wie bereits erwähnt, vor allem die unterschiedlichen Varianten der </w:t>
      </w:r>
      <w:r w:rsidR="00D31FDB" w:rsidRPr="00D229D8">
        <w:t>autobiografische</w:t>
      </w:r>
      <w:r w:rsidR="00D31FDB">
        <w:t>n Liter</w:t>
      </w:r>
      <w:r w:rsidR="00D31FDB">
        <w:t>a</w:t>
      </w:r>
      <w:r w:rsidR="00D31FDB">
        <w:t>tur</w:t>
      </w:r>
      <w:r w:rsidR="007D5D77">
        <w:t xml:space="preserve">: </w:t>
      </w:r>
      <w:r w:rsidR="00402C2E">
        <w:t xml:space="preserve">die einschlägige </w:t>
      </w:r>
      <w:r w:rsidR="007D5D77">
        <w:t xml:space="preserve">Briefliteratur, </w:t>
      </w:r>
      <w:r w:rsidR="00402C2E">
        <w:t xml:space="preserve">die </w:t>
      </w:r>
      <w:r w:rsidR="007D5D77">
        <w:t>Zeitzeugen</w:t>
      </w:r>
      <w:r w:rsidR="00CD3727">
        <w:t>b</w:t>
      </w:r>
      <w:r w:rsidR="007D5D77">
        <w:t>erichte, Tagebücher</w:t>
      </w:r>
      <w:r w:rsidR="00402C2E">
        <w:t xml:space="preserve"> und Familienchron</w:t>
      </w:r>
      <w:r w:rsidR="00402C2E">
        <w:t>i</w:t>
      </w:r>
      <w:r w:rsidR="00402C2E">
        <w:t>ken</w:t>
      </w:r>
      <w:r w:rsidR="00D31FDB">
        <w:t>.</w:t>
      </w:r>
      <w:r w:rsidR="00D31FDB" w:rsidRPr="00D31FDB">
        <w:t xml:space="preserve"> </w:t>
      </w:r>
      <w:r w:rsidR="00CD3727">
        <w:t>Erst allmählich</w:t>
      </w:r>
      <w:r w:rsidR="007D5D77">
        <w:t xml:space="preserve"> werden Teile dieses Textbestandes publiziert. </w:t>
      </w:r>
      <w:r w:rsidR="00402C2E" w:rsidRPr="00D229D8">
        <w:t xml:space="preserve">Ein Publikumsinteresse </w:t>
      </w:r>
      <w:r w:rsidR="00402C2E">
        <w:t xml:space="preserve">an dieser Literatur </w:t>
      </w:r>
      <w:r w:rsidR="00402C2E" w:rsidRPr="00D229D8">
        <w:t xml:space="preserve">bestand </w:t>
      </w:r>
      <w:r w:rsidR="00402C2E">
        <w:t>nach 1945</w:t>
      </w:r>
      <w:r w:rsidR="00402C2E" w:rsidRPr="00D229D8">
        <w:t xml:space="preserve"> </w:t>
      </w:r>
      <w:r w:rsidR="00402C2E">
        <w:t xml:space="preserve">nicht. </w:t>
      </w:r>
      <w:r w:rsidR="00402C2E" w:rsidRPr="00D229D8">
        <w:t>Die Tagebücher Victor Klemperers oder Wi</w:t>
      </w:r>
      <w:r w:rsidR="00402C2E">
        <w:t>l</w:t>
      </w:r>
      <w:r w:rsidR="00402C2E" w:rsidRPr="00D229D8">
        <w:t xml:space="preserve">ly </w:t>
      </w:r>
      <w:proofErr w:type="gramStart"/>
      <w:r w:rsidR="00402C2E" w:rsidRPr="00D229D8">
        <w:t xml:space="preserve">Cohns </w:t>
      </w:r>
      <w:r w:rsidR="00402C2E">
        <w:t>,</w:t>
      </w:r>
      <w:proofErr w:type="gramEnd"/>
      <w:r w:rsidR="00402C2E">
        <w:t xml:space="preserve"> eindrucksvolle Zeugnisse von Stigmatisierung und Entrechtung, </w:t>
      </w:r>
      <w:r w:rsidR="00402C2E" w:rsidRPr="00D229D8">
        <w:t xml:space="preserve">blieben ein halbes Jahrhundert </w:t>
      </w:r>
      <w:proofErr w:type="spellStart"/>
      <w:r w:rsidR="00402C2E" w:rsidRPr="00D229D8">
        <w:t>unpubliziert</w:t>
      </w:r>
      <w:proofErr w:type="spellEnd"/>
      <w:r w:rsidR="00402C2E" w:rsidRPr="00D229D8">
        <w:t>.</w:t>
      </w:r>
      <w:r w:rsidR="00402C2E">
        <w:t xml:space="preserve"> </w:t>
      </w:r>
      <w:r w:rsidR="007D5D77">
        <w:t>Umfangreiche Textkorpora sind</w:t>
      </w:r>
      <w:r w:rsidR="00CD3727">
        <w:t xml:space="preserve"> bislang</w:t>
      </w:r>
      <w:r w:rsidR="007D5D77">
        <w:t xml:space="preserve"> höchstens von Historikern, </w:t>
      </w:r>
      <w:r w:rsidR="007D5D77">
        <w:lastRenderedPageBreak/>
        <w:t>nicht aber von Literaturwissenschaftlern gesichtet worden.</w:t>
      </w:r>
      <w:r w:rsidR="007D5D77">
        <w:rPr>
          <w:rStyle w:val="Funotenzeichen"/>
        </w:rPr>
        <w:footnoteReference w:id="22"/>
      </w:r>
      <w:r w:rsidR="007D5D77">
        <w:t xml:space="preserve"> </w:t>
      </w:r>
      <w:r w:rsidR="00D31FDB">
        <w:t>D</w:t>
      </w:r>
      <w:r w:rsidR="00402C2E">
        <w:t>abei stellte d</w:t>
      </w:r>
      <w:r w:rsidR="00D31FDB">
        <w:t xml:space="preserve">ieses scheinbar private, vermeintlich nichtliterarische Genre </w:t>
      </w:r>
      <w:r w:rsidR="00653E4C">
        <w:t xml:space="preserve">jedoch </w:t>
      </w:r>
      <w:r w:rsidR="00D31FDB">
        <w:t>die einzige Äußerungsform dar, die</w:t>
      </w:r>
      <w:r w:rsidR="00402C2E">
        <w:t xml:space="preserve"> unter den Bedingungen des „totalen Staates“ für die Autoren verantwortbar war, da </w:t>
      </w:r>
      <w:r w:rsidR="000D6DBA">
        <w:t>es</w:t>
      </w:r>
      <w:r w:rsidR="00D31FDB">
        <w:t xml:space="preserve"> sich jedw</w:t>
      </w:r>
      <w:r w:rsidR="00D31FDB">
        <w:t>e</w:t>
      </w:r>
      <w:r w:rsidR="00D31FDB">
        <w:t xml:space="preserve">der Kontrolle entzog. </w:t>
      </w:r>
      <w:r w:rsidR="00F73986">
        <w:t>Die Aufbewahrung</w:t>
      </w:r>
      <w:r w:rsidR="00E125D0">
        <w:t xml:space="preserve"> dieser </w:t>
      </w:r>
      <w:r w:rsidR="00402C2E">
        <w:t xml:space="preserve">Texte </w:t>
      </w:r>
      <w:r w:rsidR="00E125D0">
        <w:t>war</w:t>
      </w:r>
      <w:r w:rsidR="00404268" w:rsidRPr="00D229D8">
        <w:t xml:space="preserve"> </w:t>
      </w:r>
      <w:r w:rsidR="00A97FEB" w:rsidRPr="00D229D8">
        <w:t>i</w:t>
      </w:r>
      <w:r w:rsidR="004A511F">
        <w:t>n</w:t>
      </w:r>
      <w:r w:rsidR="00404268" w:rsidRPr="00D229D8">
        <w:t xml:space="preserve"> NS-Deutschland mit Lebensg</w:t>
      </w:r>
      <w:r w:rsidR="00404268" w:rsidRPr="00D229D8">
        <w:t>e</w:t>
      </w:r>
      <w:r w:rsidR="00404268" w:rsidRPr="00D229D8">
        <w:t xml:space="preserve">fahr verbunden </w:t>
      </w:r>
      <w:r w:rsidR="00402C2E">
        <w:t>gewese</w:t>
      </w:r>
      <w:r w:rsidR="00CE575C">
        <w:t>n</w:t>
      </w:r>
      <w:r w:rsidR="00404268" w:rsidRPr="00D229D8">
        <w:t>.</w:t>
      </w:r>
      <w:r w:rsidR="00402C2E">
        <w:t xml:space="preserve"> Dass diese Texte mit </w:t>
      </w:r>
      <w:r w:rsidR="00B22C5A" w:rsidRPr="00D229D8">
        <w:t>de</w:t>
      </w:r>
      <w:r w:rsidR="006E2817">
        <w:t>m</w:t>
      </w:r>
      <w:r w:rsidR="00B22C5A" w:rsidRPr="00D229D8">
        <w:t xml:space="preserve"> </w:t>
      </w:r>
      <w:r w:rsidR="00B22C5A" w:rsidRPr="00D229D8">
        <w:rPr>
          <w:i/>
        </w:rPr>
        <w:t>Tageb</w:t>
      </w:r>
      <w:r w:rsidR="006E2817">
        <w:rPr>
          <w:i/>
        </w:rPr>
        <w:t>u</w:t>
      </w:r>
      <w:r w:rsidR="00B22C5A" w:rsidRPr="00D229D8">
        <w:rPr>
          <w:i/>
        </w:rPr>
        <w:t>ch</w:t>
      </w:r>
      <w:r w:rsidR="00B22C5A" w:rsidRPr="00D229D8">
        <w:t xml:space="preserve"> der Anne Frank </w:t>
      </w:r>
      <w:r w:rsidR="00402C2E">
        <w:t xml:space="preserve">einer Ebene stehen, wurde </w:t>
      </w:r>
      <w:r w:rsidR="00B22C5A" w:rsidRPr="00D229D8">
        <w:t>nicht</w:t>
      </w:r>
      <w:r w:rsidR="00CE575C">
        <w:t xml:space="preserve"> erkannt</w:t>
      </w:r>
      <w:r w:rsidR="00B22C5A" w:rsidRPr="00D229D8">
        <w:t xml:space="preserve">. </w:t>
      </w:r>
    </w:p>
    <w:p w:rsidR="00653E4C" w:rsidRPr="00D229D8" w:rsidRDefault="00CE575C" w:rsidP="000F7A9D">
      <w:pPr>
        <w:spacing w:after="0"/>
        <w:ind w:firstLine="708"/>
        <w:jc w:val="both"/>
      </w:pPr>
      <w:r>
        <w:t xml:space="preserve">Bedeutend besser verhielt es sich allerdings </w:t>
      </w:r>
      <w:r w:rsidR="00653E4C" w:rsidRPr="00D229D8">
        <w:t xml:space="preserve">mit den Aufzeichnungen der KZ-Überlebenden. Die ersten </w:t>
      </w:r>
      <w:r w:rsidR="00653E4C">
        <w:t>Zeugnisse</w:t>
      </w:r>
      <w:r w:rsidR="00653E4C" w:rsidRPr="00D229D8">
        <w:t xml:space="preserve"> erschienen bereits 1946. Es waren Ernst Wiecherts </w:t>
      </w:r>
      <w:r w:rsidR="00653E4C">
        <w:t>aut</w:t>
      </w:r>
      <w:r w:rsidR="00653E4C">
        <w:t>o</w:t>
      </w:r>
      <w:r w:rsidR="00653E4C">
        <w:t xml:space="preserve">biografischer Bericht </w:t>
      </w:r>
      <w:r w:rsidR="00653E4C" w:rsidRPr="00D229D8">
        <w:rPr>
          <w:i/>
        </w:rPr>
        <w:t>Der Totenwald</w:t>
      </w:r>
      <w:r w:rsidR="00653E4C">
        <w:t xml:space="preserve"> sowie </w:t>
      </w:r>
      <w:r w:rsidR="00653E4C" w:rsidRPr="00D229D8">
        <w:t xml:space="preserve">– </w:t>
      </w:r>
      <w:r w:rsidR="00653E4C">
        <w:t>ein</w:t>
      </w:r>
      <w:r w:rsidR="00554F6A">
        <w:t xml:space="preserve"> aufschlussreiches Faktum: als</w:t>
      </w:r>
      <w:r w:rsidR="00653E4C" w:rsidRPr="00D229D8">
        <w:t xml:space="preserve"> Auftragswerk der amerikanischen Militäradministration und verlegerisch von ihr unterstützt – Eugen </w:t>
      </w:r>
      <w:proofErr w:type="spellStart"/>
      <w:r w:rsidR="00653E4C" w:rsidRPr="00D229D8">
        <w:t>K</w:t>
      </w:r>
      <w:r w:rsidR="00653E4C" w:rsidRPr="00D229D8">
        <w:t>o</w:t>
      </w:r>
      <w:r w:rsidR="00653E4C" w:rsidRPr="00D229D8">
        <w:t>gons</w:t>
      </w:r>
      <w:proofErr w:type="spellEnd"/>
      <w:r w:rsidR="00653E4C" w:rsidRPr="00D229D8">
        <w:t xml:space="preserve"> </w:t>
      </w:r>
      <w:r w:rsidR="00653E4C" w:rsidRPr="00D229D8">
        <w:rPr>
          <w:i/>
        </w:rPr>
        <w:t>Der SS-Staat</w:t>
      </w:r>
      <w:r w:rsidR="00554F6A">
        <w:rPr>
          <w:i/>
        </w:rPr>
        <w:t xml:space="preserve"> </w:t>
      </w:r>
      <w:r w:rsidR="00554F6A">
        <w:t>– d</w:t>
      </w:r>
      <w:r w:rsidR="00653E4C" w:rsidRPr="000641E8">
        <w:t>ie</w:t>
      </w:r>
      <w:r w:rsidR="00653E4C">
        <w:t xml:space="preserve">s bereits ein </w:t>
      </w:r>
      <w:r w:rsidR="00653E4C" w:rsidRPr="00D229D8">
        <w:t>grundlegendes Werk</w:t>
      </w:r>
      <w:r w:rsidR="00653E4C">
        <w:t xml:space="preserve">. </w:t>
      </w:r>
      <w:r w:rsidR="008938B1">
        <w:t>D</w:t>
      </w:r>
      <w:r w:rsidR="00653E4C" w:rsidRPr="00D229D8">
        <w:t>as Interesse a</w:t>
      </w:r>
      <w:r w:rsidR="00653E4C">
        <w:t>m</w:t>
      </w:r>
      <w:r w:rsidR="00653E4C" w:rsidRPr="00D229D8">
        <w:t xml:space="preserve"> Genre</w:t>
      </w:r>
      <w:r w:rsidR="00653E4C">
        <w:t xml:space="preserve"> der „Übe</w:t>
      </w:r>
      <w:r w:rsidR="00653E4C">
        <w:t>r</w:t>
      </w:r>
      <w:r w:rsidR="00653E4C">
        <w:t>lebenden-</w:t>
      </w:r>
      <w:r w:rsidR="00653E4C" w:rsidRPr="00D229D8">
        <w:t>Berichte</w:t>
      </w:r>
      <w:r w:rsidR="00653E4C">
        <w:t xml:space="preserve">“ </w:t>
      </w:r>
      <w:r w:rsidR="00653E4C" w:rsidRPr="00D229D8">
        <w:t xml:space="preserve">ließ in den nachfolgenden Jahrzehnten zeitweilig nach, </w:t>
      </w:r>
      <w:r w:rsidR="008938B1">
        <w:t xml:space="preserve">es </w:t>
      </w:r>
      <w:r w:rsidR="00653E4C" w:rsidRPr="00D229D8">
        <w:t>riss aber ni</w:t>
      </w:r>
      <w:r w:rsidR="00653E4C" w:rsidRPr="00D229D8">
        <w:t>e</w:t>
      </w:r>
      <w:r w:rsidR="00653E4C" w:rsidRPr="00D229D8">
        <w:t xml:space="preserve">mals ab, was vermutlich den Grund darin hatte, dass aus dem Ausland immer wieder Anstöße zu neuen Publikationen </w:t>
      </w:r>
      <w:r w:rsidR="00653E4C">
        <w:t>kam</w:t>
      </w:r>
      <w:r w:rsidR="00653E4C" w:rsidRPr="00D229D8">
        <w:t xml:space="preserve">en. Man denke hier an </w:t>
      </w:r>
      <w:r w:rsidR="00653E4C">
        <w:t>ehemalige KZ-Häftlinge</w:t>
      </w:r>
      <w:r w:rsidR="00653E4C" w:rsidRPr="00D229D8">
        <w:t xml:space="preserve"> wie Tadeusz Borowski, Robert </w:t>
      </w:r>
      <w:proofErr w:type="spellStart"/>
      <w:r w:rsidR="00653E4C" w:rsidRPr="00D229D8">
        <w:t>Antelme</w:t>
      </w:r>
      <w:proofErr w:type="spellEnd"/>
      <w:r w:rsidR="00653E4C" w:rsidRPr="00D229D8">
        <w:t>, Primo Levi, Elie Wiesel, Jorge Semprun</w:t>
      </w:r>
      <w:r w:rsidR="00653E4C">
        <w:t xml:space="preserve"> oder</w:t>
      </w:r>
      <w:r w:rsidR="00653E4C" w:rsidRPr="00D229D8">
        <w:t xml:space="preserve"> Imre </w:t>
      </w:r>
      <w:proofErr w:type="spellStart"/>
      <w:r w:rsidR="00653E4C" w:rsidRPr="00D229D8">
        <w:t>Kertés</w:t>
      </w:r>
      <w:r w:rsidR="0022198B">
        <w:t>z</w:t>
      </w:r>
      <w:proofErr w:type="spellEnd"/>
      <w:r w:rsidR="00653E4C" w:rsidRPr="00D229D8">
        <w:t xml:space="preserve">. In diese Reihe gehören auch Cordelia </w:t>
      </w:r>
      <w:proofErr w:type="spellStart"/>
      <w:r w:rsidR="00653E4C" w:rsidRPr="00D229D8">
        <w:t>Edvardson</w:t>
      </w:r>
      <w:proofErr w:type="spellEnd"/>
      <w:r w:rsidR="00653E4C" w:rsidRPr="00D229D8">
        <w:t>, Ruth Klüger oder Anita Lasker-Walfisch</w:t>
      </w:r>
      <w:r w:rsidR="00653E4C">
        <w:t>: he</w:t>
      </w:r>
      <w:r w:rsidR="00653E4C">
        <w:t>u</w:t>
      </w:r>
      <w:r w:rsidR="00653E4C">
        <w:t>te</w:t>
      </w:r>
      <w:r w:rsidR="00653E4C" w:rsidRPr="00D229D8">
        <w:t xml:space="preserve"> im Ausland lebende</w:t>
      </w:r>
      <w:r w:rsidR="00653E4C">
        <w:t>, ehemals deu</w:t>
      </w:r>
      <w:r w:rsidR="00653E4C" w:rsidRPr="00D229D8">
        <w:t>tschsprachige KZ-Häftlinge. Das Interesse an der autob</w:t>
      </w:r>
      <w:r w:rsidR="00653E4C" w:rsidRPr="00D229D8">
        <w:t>i</w:t>
      </w:r>
      <w:r w:rsidR="00653E4C" w:rsidRPr="00D229D8">
        <w:t>ografischen Literatur der KZ-Überlebenden ist heute so groß wie niemals in der Vergange</w:t>
      </w:r>
      <w:r w:rsidR="00653E4C" w:rsidRPr="00D229D8">
        <w:t>n</w:t>
      </w:r>
      <w:r w:rsidR="00653E4C" w:rsidRPr="00D229D8">
        <w:t xml:space="preserve">heit. </w:t>
      </w:r>
    </w:p>
    <w:p w:rsidR="00653E4C" w:rsidRDefault="009E5658" w:rsidP="000F7A9D">
      <w:pPr>
        <w:spacing w:after="0"/>
        <w:ind w:firstLine="708"/>
        <w:jc w:val="both"/>
      </w:pPr>
      <w:r>
        <w:t xml:space="preserve">Wie mit der autobiografischen </w:t>
      </w:r>
      <w:r w:rsidR="00653E4C">
        <w:t xml:space="preserve">Literatur </w:t>
      </w:r>
      <w:r>
        <w:t xml:space="preserve">der Verfolgten </w:t>
      </w:r>
      <w:r w:rsidRPr="009E5658">
        <w:rPr>
          <w:i/>
        </w:rPr>
        <w:t>im</w:t>
      </w:r>
      <w:r>
        <w:t xml:space="preserve"> Dritten Reich </w:t>
      </w:r>
      <w:r w:rsidR="00653E4C">
        <w:t>verhielt es sich mit den Aufzeichnungen</w:t>
      </w:r>
      <w:r w:rsidR="00653E4C" w:rsidRPr="00D229D8">
        <w:t xml:space="preserve"> derer, </w:t>
      </w:r>
      <w:r w:rsidR="00653E4C">
        <w:t xml:space="preserve">die </w:t>
      </w:r>
      <w:r w:rsidR="00653E4C" w:rsidRPr="00D229D8">
        <w:t xml:space="preserve">in der Illegalität oder </w:t>
      </w:r>
      <w:r w:rsidRPr="00D229D8">
        <w:t xml:space="preserve">unter extremem sozialem Druck und entsprechender Gefahr </w:t>
      </w:r>
      <w:r w:rsidR="00653E4C" w:rsidRPr="00D229D8">
        <w:t xml:space="preserve">als „Halbjuden“ die drohende Deportation überlebt hatten. </w:t>
      </w:r>
      <w:r>
        <w:t xml:space="preserve">Auch diese Textgruppe </w:t>
      </w:r>
      <w:r w:rsidR="00CD7281">
        <w:t xml:space="preserve">fand keine angemessene Beachtung. </w:t>
      </w:r>
      <w:r w:rsidR="00653E4C" w:rsidRPr="00D229D8">
        <w:t>Eine der wenigen frühen Dokumentat</w:t>
      </w:r>
      <w:r w:rsidR="00653E4C" w:rsidRPr="00D229D8">
        <w:t>i</w:t>
      </w:r>
      <w:r w:rsidR="00653E4C" w:rsidRPr="00D229D8">
        <w:t xml:space="preserve">onen </w:t>
      </w:r>
      <w:r w:rsidR="00CD7281">
        <w:t>war</w:t>
      </w:r>
      <w:r w:rsidR="00653E4C" w:rsidRPr="00D229D8">
        <w:t xml:space="preserve"> Günther </w:t>
      </w:r>
      <w:proofErr w:type="spellStart"/>
      <w:r w:rsidR="00653E4C" w:rsidRPr="00D229D8">
        <w:t>Weisenborns</w:t>
      </w:r>
      <w:proofErr w:type="spellEnd"/>
      <w:r w:rsidR="00653E4C" w:rsidRPr="00D229D8">
        <w:t xml:space="preserve"> Anthologie </w:t>
      </w:r>
      <w:r w:rsidR="00653E4C" w:rsidRPr="00D229D8">
        <w:rPr>
          <w:i/>
        </w:rPr>
        <w:t xml:space="preserve">Der lautlose Aufstand. </w:t>
      </w:r>
      <w:r w:rsidR="00653E4C" w:rsidRPr="00D229D8">
        <w:t>Die öffentliche Aufmer</w:t>
      </w:r>
      <w:r w:rsidR="00653E4C" w:rsidRPr="00D229D8">
        <w:t>k</w:t>
      </w:r>
      <w:r w:rsidR="00653E4C" w:rsidRPr="00D229D8">
        <w:t xml:space="preserve">samkeit richtete sich </w:t>
      </w:r>
      <w:r w:rsidR="00CD7281">
        <w:t>lange Zeit</w:t>
      </w:r>
      <w:r w:rsidR="00653E4C" w:rsidRPr="00D229D8">
        <w:t xml:space="preserve"> allenfalls auf Einzelschicksale.</w:t>
      </w:r>
      <w:r w:rsidR="00653E4C" w:rsidRPr="00D229D8">
        <w:rPr>
          <w:rStyle w:val="Funotenzeichen"/>
        </w:rPr>
        <w:footnoteReference w:id="23"/>
      </w:r>
      <w:r w:rsidR="00653E4C" w:rsidRPr="00D229D8">
        <w:t xml:space="preserve"> Erst allmählich hat sich hier eine kontinuierliche Rezeption entwickelt.</w:t>
      </w:r>
      <w:r w:rsidR="00653E4C" w:rsidRPr="00D229D8">
        <w:rPr>
          <w:rStyle w:val="Funotenzeichen"/>
        </w:rPr>
        <w:footnoteReference w:id="24"/>
      </w:r>
      <w:r w:rsidR="00653E4C" w:rsidRPr="00D229D8">
        <w:t xml:space="preserve"> – Nahezu gänzlich unbeachtet blieb </w:t>
      </w:r>
      <w:r w:rsidR="00E334CB">
        <w:t xml:space="preserve">vor allem </w:t>
      </w:r>
      <w:r w:rsidR="00653E4C">
        <w:t>jedoch</w:t>
      </w:r>
      <w:r w:rsidR="00653E4C" w:rsidRPr="00D229D8">
        <w:t xml:space="preserve"> die </w:t>
      </w:r>
      <w:r w:rsidR="00653E4C" w:rsidRPr="00D229D8">
        <w:rPr>
          <w:i/>
        </w:rPr>
        <w:t>Migrantenliteratur</w:t>
      </w:r>
      <w:r w:rsidR="00653E4C" w:rsidRPr="00D229D8">
        <w:t xml:space="preserve">, also die Literatur, die </w:t>
      </w:r>
      <w:r w:rsidR="00CD7281">
        <w:t>– am Rande der eigentlichen Exilliteratur stehend – v</w:t>
      </w:r>
      <w:r w:rsidR="00653E4C" w:rsidRPr="00D229D8">
        <w:t xml:space="preserve">on den ehemals deutschsprachigen Exilierten </w:t>
      </w:r>
      <w:r w:rsidR="00653E4C" w:rsidRPr="00D229D8">
        <w:rPr>
          <w:i/>
        </w:rPr>
        <w:t>in ihren Aufnahmeländern</w:t>
      </w:r>
      <w:r w:rsidR="00653E4C" w:rsidRPr="00D229D8">
        <w:t xml:space="preserve"> verfasst worden war. Speziell sie wurde von der </w:t>
      </w:r>
      <w:r w:rsidR="00CD7281">
        <w:t>deut</w:t>
      </w:r>
      <w:r w:rsidR="00653E4C" w:rsidRPr="00D229D8">
        <w:t xml:space="preserve">schen Öffentlichkeit, aber auch von </w:t>
      </w:r>
      <w:r w:rsidR="00653E4C">
        <w:t xml:space="preserve">der </w:t>
      </w:r>
      <w:r w:rsidR="00653E4C" w:rsidRPr="00D229D8">
        <w:t>Germ</w:t>
      </w:r>
      <w:r w:rsidR="00653E4C" w:rsidRPr="00D229D8">
        <w:t>a</w:t>
      </w:r>
      <w:r w:rsidR="00653E4C" w:rsidRPr="00D229D8">
        <w:t>nistik</w:t>
      </w:r>
      <w:r w:rsidR="00CD7281">
        <w:t>,</w:t>
      </w:r>
      <w:r w:rsidR="00653E4C" w:rsidRPr="00D229D8">
        <w:t xml:space="preserve"> </w:t>
      </w:r>
      <w:r w:rsidR="00CD7281">
        <w:t xml:space="preserve">nahezu gar nicht </w:t>
      </w:r>
      <w:r w:rsidR="00653E4C" w:rsidRPr="00D229D8">
        <w:t>wahrgenommen</w:t>
      </w:r>
      <w:r w:rsidR="00CD7281">
        <w:t xml:space="preserve">. Ihre </w:t>
      </w:r>
      <w:r w:rsidR="00CD7281" w:rsidRPr="00D229D8">
        <w:t>Themen und Strukturen</w:t>
      </w:r>
      <w:r w:rsidR="00CD7281">
        <w:t xml:space="preserve"> besitzen eine charakt</w:t>
      </w:r>
      <w:r w:rsidR="00CD7281">
        <w:t>e</w:t>
      </w:r>
      <w:r w:rsidR="00CD7281">
        <w:t>ristische Eigenständigkeit. S</w:t>
      </w:r>
      <w:r w:rsidR="00653E4C" w:rsidRPr="00D229D8">
        <w:t xml:space="preserve">ie </w:t>
      </w:r>
      <w:r w:rsidR="00CD7281">
        <w:t xml:space="preserve">entziehen sich dadurch </w:t>
      </w:r>
      <w:r w:rsidR="00653E4C" w:rsidRPr="00D229D8">
        <w:t>vertrauten Wahrnehmungsmustern.</w:t>
      </w:r>
      <w:r w:rsidR="00653E4C" w:rsidRPr="00D229D8">
        <w:rPr>
          <w:rStyle w:val="Funotenzeichen"/>
        </w:rPr>
        <w:footnoteReference w:id="25"/>
      </w:r>
    </w:p>
    <w:p w:rsidR="00E334CB" w:rsidRDefault="00E334CB" w:rsidP="000F7A9D">
      <w:pPr>
        <w:spacing w:after="0"/>
        <w:ind w:firstLine="708"/>
        <w:jc w:val="both"/>
      </w:pPr>
    </w:p>
    <w:p w:rsidR="000641E8" w:rsidRDefault="00862CB4" w:rsidP="000F7A9D">
      <w:pPr>
        <w:spacing w:after="0"/>
        <w:ind w:firstLine="708"/>
        <w:jc w:val="both"/>
      </w:pPr>
      <w:r>
        <w:t xml:space="preserve">Die </w:t>
      </w:r>
      <w:r w:rsidR="00BE5FF9">
        <w:t>Veränderungen</w:t>
      </w:r>
      <w:r>
        <w:t xml:space="preserve">, die durch die NS-Politik ausgelöst wurden, betrafen </w:t>
      </w:r>
      <w:r w:rsidR="00E676EA">
        <w:t xml:space="preserve">jedoch </w:t>
      </w:r>
      <w:r>
        <w:t xml:space="preserve">nicht nur einzelne literarische Sparten und Gattungen. </w:t>
      </w:r>
      <w:r w:rsidR="00BD1272" w:rsidRPr="00D229D8">
        <w:t xml:space="preserve">Nach Ende des Dritten Reiches </w:t>
      </w:r>
      <w:r w:rsidR="00BE23E1" w:rsidRPr="00D229D8">
        <w:t xml:space="preserve">unterschied sich das </w:t>
      </w:r>
      <w:r w:rsidR="00BD1272" w:rsidRPr="00D229D8">
        <w:t xml:space="preserve">literarische </w:t>
      </w:r>
      <w:r w:rsidR="00BE23E1" w:rsidRPr="00D229D8">
        <w:t xml:space="preserve">System grundlegend von dem der </w:t>
      </w:r>
      <w:r w:rsidR="00951053" w:rsidRPr="00D229D8">
        <w:t>Weimarer Republik.</w:t>
      </w:r>
      <w:r w:rsidR="00BE23E1" w:rsidRPr="00D229D8">
        <w:t xml:space="preserve"> Die Rolle, die Berlin während der Weimarer Republik als Vermittlungs</w:t>
      </w:r>
      <w:r>
        <w:t>instanz</w:t>
      </w:r>
      <w:r w:rsidR="00BE23E1" w:rsidRPr="00D229D8">
        <w:t xml:space="preserve"> </w:t>
      </w:r>
      <w:r>
        <w:t xml:space="preserve">auch </w:t>
      </w:r>
      <w:r w:rsidR="00BE23E1" w:rsidRPr="00D229D8">
        <w:t xml:space="preserve">für </w:t>
      </w:r>
      <w:r w:rsidR="00951053" w:rsidRPr="00D229D8">
        <w:t>nichtdeutsche Aut</w:t>
      </w:r>
      <w:r w:rsidR="00951053" w:rsidRPr="00D229D8">
        <w:t>o</w:t>
      </w:r>
      <w:r w:rsidR="00951053" w:rsidRPr="00D229D8">
        <w:lastRenderedPageBreak/>
        <w:t xml:space="preserve">ren: </w:t>
      </w:r>
      <w:r w:rsidR="001235EF" w:rsidRPr="00D229D8">
        <w:t>für</w:t>
      </w:r>
      <w:r w:rsidR="00951053" w:rsidRPr="00D229D8">
        <w:t xml:space="preserve"> </w:t>
      </w:r>
      <w:r>
        <w:t>Ö</w:t>
      </w:r>
      <w:r w:rsidR="00BE23E1" w:rsidRPr="00D229D8">
        <w:t>sterreich</w:t>
      </w:r>
      <w:r>
        <w:t>er</w:t>
      </w:r>
      <w:r w:rsidR="00BE23E1" w:rsidRPr="00D229D8">
        <w:t xml:space="preserve"> wie </w:t>
      </w:r>
      <w:r w:rsidR="00977638" w:rsidRPr="00D229D8">
        <w:t xml:space="preserve">Horváth und Roth </w:t>
      </w:r>
      <w:r>
        <w:t>oder</w:t>
      </w:r>
      <w:r w:rsidR="00977638" w:rsidRPr="00D229D8">
        <w:t xml:space="preserve"> </w:t>
      </w:r>
      <w:r>
        <w:t xml:space="preserve">für </w:t>
      </w:r>
      <w:r w:rsidR="00951053" w:rsidRPr="00D229D8">
        <w:t>deutschsprachige tschechoslowakische</w:t>
      </w:r>
      <w:r>
        <w:t xml:space="preserve"> Autoren </w:t>
      </w:r>
      <w:r w:rsidR="00977638" w:rsidRPr="00D229D8">
        <w:t xml:space="preserve">wie </w:t>
      </w:r>
      <w:r w:rsidR="008E458F" w:rsidRPr="00D229D8">
        <w:t xml:space="preserve">Franz Kafka und </w:t>
      </w:r>
      <w:r w:rsidR="00977638" w:rsidRPr="00D229D8">
        <w:t xml:space="preserve">Ernst Weiß gespielt hatte, war </w:t>
      </w:r>
      <w:r>
        <w:t>gänzlich</w:t>
      </w:r>
      <w:r w:rsidR="00977638" w:rsidRPr="00D229D8">
        <w:t xml:space="preserve"> entfallen. </w:t>
      </w:r>
      <w:r w:rsidR="00FF707E" w:rsidRPr="00D229D8">
        <w:t>Die deutsc</w:t>
      </w:r>
      <w:r w:rsidR="00FF707E" w:rsidRPr="00D229D8">
        <w:t>h</w:t>
      </w:r>
      <w:r w:rsidR="00FF707E" w:rsidRPr="00D229D8">
        <w:t xml:space="preserve">sprachige jüdische Bevölkerung Prags war entweder geflüchtet oder im Holocaust vernichtet worden. </w:t>
      </w:r>
      <w:r w:rsidR="005F6E54">
        <w:t>An der Stelle von</w:t>
      </w:r>
      <w:r w:rsidR="008E458F" w:rsidRPr="00D229D8">
        <w:t xml:space="preserve"> </w:t>
      </w:r>
      <w:r w:rsidR="003B505D" w:rsidRPr="00D229D8">
        <w:t>Berlin als d</w:t>
      </w:r>
      <w:r w:rsidR="008E458F" w:rsidRPr="00D229D8">
        <w:t>es dominanten Zentrums etablierten sich nunmehr</w:t>
      </w:r>
      <w:r w:rsidR="003B505D" w:rsidRPr="00D229D8">
        <w:t xml:space="preserve"> </w:t>
      </w:r>
      <w:r w:rsidR="00FE4FEA">
        <w:t>ve</w:t>
      </w:r>
      <w:r w:rsidR="00FE4FEA">
        <w:t>r</w:t>
      </w:r>
      <w:r w:rsidR="00FE4FEA">
        <w:t>schiedene dis</w:t>
      </w:r>
      <w:r w:rsidR="003B505D" w:rsidRPr="00D229D8">
        <w:t>parate literarische Zentren – so, wie das ehemalige Großdeutsche Reich in</w:t>
      </w:r>
      <w:r w:rsidR="008E458F" w:rsidRPr="00D229D8">
        <w:t xml:space="preserve"> drei </w:t>
      </w:r>
      <w:r w:rsidR="003B505D" w:rsidRPr="00D229D8">
        <w:t xml:space="preserve">Nachfolgestaaten: die Bundesrepublik, die DDR und Österreich, zerfallen war. </w:t>
      </w:r>
    </w:p>
    <w:p w:rsidR="000E1ED6" w:rsidRDefault="00951053" w:rsidP="000F7A9D">
      <w:pPr>
        <w:spacing w:after="0"/>
        <w:ind w:firstLine="708"/>
        <w:jc w:val="both"/>
      </w:pPr>
      <w:r w:rsidRPr="00D229D8">
        <w:t xml:space="preserve">Wie nachteilig die sich </w:t>
      </w:r>
      <w:r w:rsidR="00113770" w:rsidRPr="00D229D8">
        <w:t>hier</w:t>
      </w:r>
      <w:r w:rsidR="00113770">
        <w:t>aus</w:t>
      </w:r>
      <w:r w:rsidR="00113770" w:rsidRPr="00D229D8">
        <w:t xml:space="preserve"> </w:t>
      </w:r>
      <w:r w:rsidRPr="00D229D8">
        <w:t>entwickelnden Rivalitäten und Antagonismen für eine Aufarbeitung der Geschichte</w:t>
      </w:r>
      <w:r w:rsidR="0037336A" w:rsidRPr="00D229D8">
        <w:t xml:space="preserve"> </w:t>
      </w:r>
      <w:r w:rsidR="000641E8">
        <w:t>waren</w:t>
      </w:r>
      <w:r w:rsidR="0037336A" w:rsidRPr="00D229D8">
        <w:t xml:space="preserve"> – und es z.T. auch heute noch sind –, w</w:t>
      </w:r>
      <w:r w:rsidR="000641E8">
        <w:t>i</w:t>
      </w:r>
      <w:r w:rsidR="0037336A" w:rsidRPr="00D229D8">
        <w:t>rd der literar</w:t>
      </w:r>
      <w:r w:rsidR="0037336A" w:rsidRPr="00D229D8">
        <w:t>i</w:t>
      </w:r>
      <w:r w:rsidR="0037336A" w:rsidRPr="00D229D8">
        <w:t xml:space="preserve">schen Öffentlichkeit </w:t>
      </w:r>
      <w:r w:rsidR="000641E8">
        <w:t xml:space="preserve">jedoch </w:t>
      </w:r>
      <w:r w:rsidR="0037336A" w:rsidRPr="00D229D8">
        <w:t xml:space="preserve">nur in Teilen oder gar nicht bewusst. </w:t>
      </w:r>
      <w:r w:rsidR="000A4458" w:rsidRPr="00D229D8">
        <w:t xml:space="preserve">Die Spezifik des Vorgangs </w:t>
      </w:r>
      <w:r w:rsidR="00C90D63" w:rsidRPr="00D229D8">
        <w:t>besteht darin, dass das</w:t>
      </w:r>
      <w:r w:rsidR="000A4458" w:rsidRPr="00D229D8">
        <w:t xml:space="preserve"> literarische System inkohärent </w:t>
      </w:r>
      <w:r w:rsidR="00C70390" w:rsidRPr="00D229D8">
        <w:t>geworden</w:t>
      </w:r>
      <w:r w:rsidR="000641E8">
        <w:t xml:space="preserve"> ist</w:t>
      </w:r>
      <w:r w:rsidR="00113770">
        <w:t>,</w:t>
      </w:r>
      <w:r w:rsidR="000641E8">
        <w:t xml:space="preserve"> </w:t>
      </w:r>
      <w:r w:rsidR="000A4458" w:rsidRPr="00D229D8">
        <w:t xml:space="preserve">die </w:t>
      </w:r>
      <w:r w:rsidR="00FE4FEA">
        <w:t>deutschsprachige Lit</w:t>
      </w:r>
      <w:r w:rsidR="00FE4FEA">
        <w:t>e</w:t>
      </w:r>
      <w:r w:rsidR="00FE4FEA">
        <w:t xml:space="preserve">ratur </w:t>
      </w:r>
      <w:r w:rsidR="00113770">
        <w:t xml:space="preserve">also </w:t>
      </w:r>
      <w:r w:rsidR="000641E8">
        <w:t>nicht mehr als Einheit wahrgenommen wird. Dies kann man bedauern oder als Fa</w:t>
      </w:r>
      <w:r w:rsidR="000641E8">
        <w:t>k</w:t>
      </w:r>
      <w:r w:rsidR="000641E8">
        <w:t xml:space="preserve">tum akzeptieren </w:t>
      </w:r>
      <w:r w:rsidR="00C4723B">
        <w:t>–</w:t>
      </w:r>
      <w:r w:rsidR="000641E8">
        <w:t xml:space="preserve"> </w:t>
      </w:r>
      <w:r w:rsidR="00C4723B">
        <w:t xml:space="preserve">nachteilig in Hinblick auf die Rekonstruktion </w:t>
      </w:r>
      <w:r w:rsidR="00113770">
        <w:t xml:space="preserve">der </w:t>
      </w:r>
      <w:r w:rsidR="00C4723B">
        <w:t>geschichtliche</w:t>
      </w:r>
      <w:r w:rsidR="00113770">
        <w:t>n</w:t>
      </w:r>
      <w:r w:rsidR="00C4723B">
        <w:t xml:space="preserve"> Zusa</w:t>
      </w:r>
      <w:r w:rsidR="00C4723B">
        <w:t>m</w:t>
      </w:r>
      <w:r w:rsidR="00C4723B">
        <w:t xml:space="preserve">menhänge ist es allemal. </w:t>
      </w:r>
      <w:r w:rsidR="000A4458" w:rsidRPr="00D229D8">
        <w:t>Indem wesentliche Bereiche der literarischen Produktion entweder gar nicht, nur mit jahrzehntelange</w:t>
      </w:r>
      <w:r w:rsidR="00F72F51">
        <w:t>r</w:t>
      </w:r>
      <w:r w:rsidR="000A4458" w:rsidRPr="00D229D8">
        <w:t xml:space="preserve"> Verspätung oder aus zeitgebundener, z.T. parteiischer, z. T. sogar antagonistischer</w:t>
      </w:r>
      <w:r w:rsidR="00113770">
        <w:t xml:space="preserve">: aus „deutscher“ oder aus „österreichischer“ </w:t>
      </w:r>
      <w:r w:rsidR="000A4458" w:rsidRPr="00D229D8">
        <w:t>Perspektive rezipiert w</w:t>
      </w:r>
      <w:r w:rsidR="00113770">
        <w:t>e</w:t>
      </w:r>
      <w:r w:rsidR="000A4458" w:rsidRPr="00D229D8">
        <w:t xml:space="preserve">rden, sind Brüche und Verwerfungen entstanden, die </w:t>
      </w:r>
      <w:r w:rsidR="00D323A3" w:rsidRPr="00D229D8">
        <w:t>heute kaum noch zu korrigieren sind.</w:t>
      </w:r>
      <w:r w:rsidR="000E1ED6">
        <w:t xml:space="preserve"> </w:t>
      </w:r>
      <w:r w:rsidR="00ED3CB2" w:rsidRPr="00D229D8">
        <w:t>Die nationalsozialistische Rassenpolitik löste</w:t>
      </w:r>
      <w:r w:rsidR="0027225A" w:rsidRPr="00D229D8">
        <w:t xml:space="preserve"> einen </w:t>
      </w:r>
      <w:r w:rsidR="006564E7" w:rsidRPr="00D229D8">
        <w:t xml:space="preserve">derart umfassenden </w:t>
      </w:r>
      <w:r w:rsidR="0027225A" w:rsidRPr="00D229D8">
        <w:t>Epochenbruch</w:t>
      </w:r>
      <w:r w:rsidR="00ED3CB2" w:rsidRPr="00D229D8">
        <w:t xml:space="preserve"> aus</w:t>
      </w:r>
      <w:r w:rsidR="001D7F14" w:rsidRPr="00D229D8">
        <w:t>, d</w:t>
      </w:r>
      <w:r w:rsidR="006564E7" w:rsidRPr="00D229D8">
        <w:t>ass</w:t>
      </w:r>
      <w:r w:rsidR="001D7F14" w:rsidRPr="00D229D8">
        <w:t xml:space="preserve"> </w:t>
      </w:r>
      <w:r w:rsidR="0001683D" w:rsidRPr="00D229D8">
        <w:t>die</w:t>
      </w:r>
      <w:r w:rsidR="001D7F14" w:rsidRPr="00D229D8">
        <w:t xml:space="preserve"> Bedeutung </w:t>
      </w:r>
      <w:r w:rsidR="0001683D" w:rsidRPr="00D229D8">
        <w:t xml:space="preserve">dieses Geschehens </w:t>
      </w:r>
      <w:r w:rsidR="001D7F14" w:rsidRPr="00D229D8">
        <w:t xml:space="preserve">selbst </w:t>
      </w:r>
      <w:r w:rsidR="00ED3CB2" w:rsidRPr="00D229D8">
        <w:t xml:space="preserve">heute allenfalls </w:t>
      </w:r>
      <w:r w:rsidR="001D7F14" w:rsidRPr="00D229D8">
        <w:t>annäherungsweise zu erfassen ist</w:t>
      </w:r>
      <w:r w:rsidR="0027225A" w:rsidRPr="00D229D8">
        <w:t xml:space="preserve">. </w:t>
      </w:r>
    </w:p>
    <w:p w:rsidR="000E1ED6" w:rsidRDefault="0057438E" w:rsidP="000F7A9D">
      <w:pPr>
        <w:spacing w:after="0"/>
        <w:ind w:firstLine="708"/>
        <w:jc w:val="both"/>
      </w:pPr>
      <w:r w:rsidRPr="00D229D8">
        <w:t>Eine M</w:t>
      </w:r>
      <w:r w:rsidR="00416201" w:rsidRPr="00D229D8">
        <w:t>its</w:t>
      </w:r>
      <w:r w:rsidR="00AB2AD0" w:rsidRPr="00D229D8">
        <w:t>chuld an de</w:t>
      </w:r>
      <w:r w:rsidR="00416201" w:rsidRPr="00D229D8">
        <w:t>n</w:t>
      </w:r>
      <w:r w:rsidR="00AB2AD0" w:rsidRPr="00D229D8">
        <w:t xml:space="preserve"> Problem</w:t>
      </w:r>
      <w:r w:rsidR="00416201" w:rsidRPr="00D229D8">
        <w:t>en, die aus</w:t>
      </w:r>
      <w:r w:rsidR="00AB2AD0" w:rsidRPr="00D229D8">
        <w:t xml:space="preserve"> der verspäteten, inkohärenten Rezeption der </w:t>
      </w:r>
      <w:r w:rsidR="00416201" w:rsidRPr="00D229D8">
        <w:t xml:space="preserve">Literatur </w:t>
      </w:r>
      <w:r w:rsidR="00AB2AD0" w:rsidRPr="00D229D8">
        <w:t xml:space="preserve">der </w:t>
      </w:r>
      <w:r w:rsidR="00416201" w:rsidRPr="00D229D8">
        <w:t>Hitler-Verfolgten resultieren</w:t>
      </w:r>
      <w:r w:rsidR="00AB2AD0" w:rsidRPr="00D229D8">
        <w:t xml:space="preserve">, trägt auch die Exilforschung. </w:t>
      </w:r>
      <w:r w:rsidRPr="00D229D8">
        <w:t>S</w:t>
      </w:r>
      <w:r w:rsidR="00AB2AD0" w:rsidRPr="00D229D8">
        <w:t xml:space="preserve">ie </w:t>
      </w:r>
      <w:r w:rsidRPr="00D229D8">
        <w:t xml:space="preserve">ist </w:t>
      </w:r>
      <w:r w:rsidR="00AB2AD0" w:rsidRPr="00D229D8">
        <w:t>selber ein hi</w:t>
      </w:r>
      <w:r w:rsidR="00AB2AD0" w:rsidRPr="00D229D8">
        <w:t>s</w:t>
      </w:r>
      <w:r w:rsidR="00AB2AD0" w:rsidRPr="00D229D8">
        <w:t>torisch verspätetes Phänomen, das Resultat eines Defizitbewusstseins, das</w:t>
      </w:r>
      <w:r w:rsidRPr="00D229D8">
        <w:t xml:space="preserve"> vornehmlich seit den 1960er Jahren in</w:t>
      </w:r>
      <w:r w:rsidR="00AB2AD0" w:rsidRPr="00D229D8">
        <w:t xml:space="preserve"> der</w:t>
      </w:r>
      <w:r w:rsidRPr="00D229D8">
        <w:t xml:space="preserve"> bundesdeuts</w:t>
      </w:r>
      <w:r w:rsidR="00AB2AD0" w:rsidRPr="00D229D8">
        <w:t xml:space="preserve">chen Öffentlichkeit </w:t>
      </w:r>
      <w:r w:rsidRPr="00D229D8">
        <w:t>zu einem immer</w:t>
      </w:r>
      <w:r w:rsidR="00AB2AD0" w:rsidRPr="00D229D8">
        <w:t xml:space="preserve"> stärker</w:t>
      </w:r>
      <w:r w:rsidRPr="00D229D8">
        <w:t>en</w:t>
      </w:r>
      <w:r w:rsidR="00AB2AD0" w:rsidRPr="00D229D8">
        <w:t xml:space="preserve"> </w:t>
      </w:r>
      <w:r w:rsidRPr="00D229D8">
        <w:t>Faktor</w:t>
      </w:r>
      <w:r w:rsidR="00AB2AD0" w:rsidRPr="00D229D8">
        <w:t xml:space="preserve"> wurde. </w:t>
      </w:r>
      <w:r w:rsidR="00956C39" w:rsidRPr="00D229D8">
        <w:t>Die Biografien h</w:t>
      </w:r>
      <w:r w:rsidR="00AB2AD0" w:rsidRPr="00D229D8">
        <w:t>erausragende</w:t>
      </w:r>
      <w:r w:rsidR="00956C39" w:rsidRPr="00D229D8">
        <w:t>r</w:t>
      </w:r>
      <w:r w:rsidR="00AB2AD0" w:rsidRPr="00D229D8">
        <w:t xml:space="preserve"> politische</w:t>
      </w:r>
      <w:r w:rsidR="00956C39" w:rsidRPr="00D229D8">
        <w:t>r</w:t>
      </w:r>
      <w:r w:rsidR="00AB2AD0" w:rsidRPr="00D229D8">
        <w:t xml:space="preserve"> Persönlichkeiten der Bundesrepublik</w:t>
      </w:r>
      <w:r w:rsidR="00956C39" w:rsidRPr="00D229D8">
        <w:t xml:space="preserve"> – zu nennen sind hier</w:t>
      </w:r>
      <w:r w:rsidR="00AB2AD0" w:rsidRPr="00D229D8">
        <w:t xml:space="preserve"> </w:t>
      </w:r>
      <w:r w:rsidRPr="00D229D8">
        <w:t xml:space="preserve">Ernst Reuter, </w:t>
      </w:r>
      <w:r w:rsidR="00AB2AD0" w:rsidRPr="00D229D8">
        <w:t>Willy Brandt, Max Brauer, Heinz Kühn</w:t>
      </w:r>
      <w:r w:rsidR="00956C39" w:rsidRPr="00D229D8">
        <w:t>, Herbert Weichmann</w:t>
      </w:r>
      <w:r w:rsidR="00AB2AD0" w:rsidRPr="00D229D8">
        <w:t xml:space="preserve"> und </w:t>
      </w:r>
      <w:r w:rsidR="00B65C3A" w:rsidRPr="00D229D8">
        <w:t xml:space="preserve">viele </w:t>
      </w:r>
      <w:r w:rsidR="00AB2AD0" w:rsidRPr="00D229D8">
        <w:t>andere</w:t>
      </w:r>
      <w:r w:rsidR="00956C39" w:rsidRPr="00D229D8">
        <w:t xml:space="preserve"> – rückten in diesem Zusammenhang </w:t>
      </w:r>
      <w:r w:rsidR="00AB2AD0" w:rsidRPr="00D229D8">
        <w:t>ins Zentrum</w:t>
      </w:r>
      <w:r w:rsidR="00B65C3A" w:rsidRPr="00D229D8">
        <w:t>.</w:t>
      </w:r>
      <w:r w:rsidR="00AB2AD0" w:rsidRPr="00D229D8">
        <w:t xml:space="preserve"> </w:t>
      </w:r>
      <w:r w:rsidR="000E1ED6">
        <w:t xml:space="preserve">Das erklärt bis zu einem gewissen Grad die dominante Fokussierung auf das „politische Exil“. </w:t>
      </w:r>
      <w:r w:rsidR="006A1F8C" w:rsidRPr="00D229D8">
        <w:t xml:space="preserve">Hinzu kam, dass die bundesdeutsche Exilforschung sich in unmittelbarer Konkurrenz zur Exilforschung </w:t>
      </w:r>
      <w:r w:rsidR="001D5E44" w:rsidRPr="00D229D8">
        <w:t xml:space="preserve">der DDR entwickelte. Hier aber spielte die Parteizugehörigkeit, nicht </w:t>
      </w:r>
      <w:r w:rsidR="00113770">
        <w:t xml:space="preserve">jedoch </w:t>
      </w:r>
      <w:r w:rsidR="001D5E44" w:rsidRPr="00D229D8">
        <w:t>das religiöse Bekenntnis oder der familiäre Hintergrund eine Rolle. Dass ein prominenter kommunistischer Schriftste</w:t>
      </w:r>
      <w:r w:rsidR="001D5E44" w:rsidRPr="00D229D8">
        <w:t>l</w:t>
      </w:r>
      <w:r w:rsidR="001D5E44" w:rsidRPr="00D229D8">
        <w:t>ler wie Friedrich Wolf Jude war, hätte man aus seinem Werk zwar ohne weiteres erschließen können, es fand aber nirgendwo Erwähnung.</w:t>
      </w:r>
      <w:r w:rsidR="00E973E2" w:rsidRPr="00D229D8">
        <w:t xml:space="preserve"> </w:t>
      </w:r>
      <w:r w:rsidR="00956C39" w:rsidRPr="00D229D8">
        <w:t>Das</w:t>
      </w:r>
      <w:r w:rsidR="006A1F8C" w:rsidRPr="00D229D8">
        <w:t>s</w:t>
      </w:r>
      <w:r w:rsidR="00956C39" w:rsidRPr="00D229D8">
        <w:t xml:space="preserve"> </w:t>
      </w:r>
      <w:r w:rsidR="000E1ED6" w:rsidRPr="00D229D8">
        <w:t>das „politische Exil</w:t>
      </w:r>
      <w:r w:rsidR="000E1ED6">
        <w:t>“</w:t>
      </w:r>
      <w:r w:rsidR="000E1ED6" w:rsidRPr="00D229D8">
        <w:t xml:space="preserve"> </w:t>
      </w:r>
      <w:r w:rsidR="00956C39" w:rsidRPr="00D229D8">
        <w:t>zu einem entsche</w:t>
      </w:r>
      <w:r w:rsidR="00956C39" w:rsidRPr="00D229D8">
        <w:t>i</w:t>
      </w:r>
      <w:r w:rsidR="00956C39" w:rsidRPr="00D229D8">
        <w:t>denden Teil auch ein „jüdisches Exil“ war,</w:t>
      </w:r>
      <w:r w:rsidR="006A1F8C" w:rsidRPr="00D229D8">
        <w:t xml:space="preserve"> rückte </w:t>
      </w:r>
      <w:r w:rsidR="00113770">
        <w:t>auf diese Weise</w:t>
      </w:r>
      <w:r w:rsidR="006A1F8C" w:rsidRPr="00D229D8">
        <w:t xml:space="preserve"> in den Hintergrund.</w:t>
      </w:r>
      <w:r w:rsidR="00EA5496" w:rsidRPr="00D229D8">
        <w:rPr>
          <w:rStyle w:val="Funotenzeichen"/>
        </w:rPr>
        <w:footnoteReference w:id="26"/>
      </w:r>
      <w:r w:rsidR="00EA5496" w:rsidRPr="00D229D8">
        <w:t xml:space="preserve"> </w:t>
      </w:r>
      <w:r w:rsidR="000E1ED6">
        <w:t xml:space="preserve">Die Parteien waren in den Flucht- und Aufnahmeländern zweifelsohne organisatorische Zentren, also bedeutsam für die Entwicklung des kulturellen Lebens. </w:t>
      </w:r>
      <w:r w:rsidR="00113770">
        <w:t>Das rechtfertigt durchaus, z</w:t>
      </w:r>
      <w:r w:rsidR="00113770">
        <w:t>u</w:t>
      </w:r>
      <w:r w:rsidR="00113770">
        <w:t xml:space="preserve">nächst einmal den Blick auf die politischen Organisationsstrukturen zu richten. </w:t>
      </w:r>
      <w:r w:rsidR="000E1ED6">
        <w:t xml:space="preserve">Aber das galt in mindestens gleicher Weise, wenn nicht in viel stärkerem Maße, </w:t>
      </w:r>
      <w:r w:rsidR="00113770">
        <w:t xml:space="preserve">insbesondere </w:t>
      </w:r>
      <w:r w:rsidR="000E1ED6">
        <w:t>auch für die jüdischen Gemeinden in den Asylländern.</w:t>
      </w:r>
      <w:r w:rsidR="00113770">
        <w:rPr>
          <w:rStyle w:val="Funotenzeichen"/>
        </w:rPr>
        <w:footnoteReference w:id="27"/>
      </w:r>
      <w:r w:rsidR="000E1ED6">
        <w:t xml:space="preserve"> </w:t>
      </w:r>
    </w:p>
    <w:p w:rsidR="00D3147E" w:rsidRPr="00D229D8" w:rsidRDefault="000E1ED6" w:rsidP="000F7A9D">
      <w:pPr>
        <w:spacing w:after="0"/>
        <w:ind w:firstLine="708"/>
        <w:jc w:val="both"/>
      </w:pPr>
      <w:r>
        <w:lastRenderedPageBreak/>
        <w:t>Ein wichtiges Argument f</w:t>
      </w:r>
      <w:r w:rsidR="009B1464" w:rsidRPr="00D229D8">
        <w:t>ür</w:t>
      </w:r>
      <w:r>
        <w:t xml:space="preserve"> die Akzentsetzung auf das „politische Exil“</w:t>
      </w:r>
      <w:r w:rsidR="009B1464" w:rsidRPr="00D229D8">
        <w:t xml:space="preserve"> </w:t>
      </w:r>
      <w:r>
        <w:t xml:space="preserve">ist auch </w:t>
      </w:r>
      <w:r w:rsidR="006A1F8C" w:rsidRPr="00D229D8">
        <w:t xml:space="preserve">die Tatsache, dass </w:t>
      </w:r>
      <w:r w:rsidR="009031CC" w:rsidRPr="00D229D8">
        <w:t>die</w:t>
      </w:r>
      <w:r w:rsidR="006A1F8C" w:rsidRPr="00D229D8">
        <w:t xml:space="preserve"> Exilierten sich </w:t>
      </w:r>
      <w:r w:rsidR="009031CC" w:rsidRPr="00D229D8">
        <w:t xml:space="preserve">zu einem erheblichen Teil </w:t>
      </w:r>
      <w:r w:rsidR="00377270">
        <w:t xml:space="preserve">selber </w:t>
      </w:r>
      <w:r w:rsidR="006A1F8C" w:rsidRPr="00D229D8">
        <w:t>nicht als „Juden“</w:t>
      </w:r>
      <w:r w:rsidR="001D5E44" w:rsidRPr="00D229D8">
        <w:t xml:space="preserve"> versta</w:t>
      </w:r>
      <w:r w:rsidR="001D5E44" w:rsidRPr="00D229D8">
        <w:t>n</w:t>
      </w:r>
      <w:r w:rsidR="001D5E44" w:rsidRPr="00D229D8">
        <w:t>d</w:t>
      </w:r>
      <w:r w:rsidR="009031CC" w:rsidRPr="00D229D8">
        <w:t>en</w:t>
      </w:r>
      <w:r w:rsidR="0072151C" w:rsidRPr="00D229D8">
        <w:t xml:space="preserve">, sondern </w:t>
      </w:r>
      <w:r w:rsidR="00025F02" w:rsidRPr="00D229D8">
        <w:t>gemäß</w:t>
      </w:r>
      <w:r w:rsidR="0072151C" w:rsidRPr="00D229D8">
        <w:t xml:space="preserve"> ihrer beruflichen, sozialen oder eben </w:t>
      </w:r>
      <w:r w:rsidR="009031CC" w:rsidRPr="00D229D8">
        <w:t>„politischen“ Stellung</w:t>
      </w:r>
      <w:r w:rsidR="001D5E44" w:rsidRPr="00D229D8">
        <w:t xml:space="preserve">. </w:t>
      </w:r>
      <w:r w:rsidR="00025F02" w:rsidRPr="00D229D8">
        <w:t xml:space="preserve">Sie waren „Deutsche“ – ihrem Selbstverständnis wie dem Verständnis ihrer rechtlichen und sozialen Position nach. </w:t>
      </w:r>
      <w:r w:rsidR="001D5E44" w:rsidRPr="00D229D8">
        <w:t xml:space="preserve">Das religiöse Bekenntnis </w:t>
      </w:r>
      <w:r w:rsidR="0072151C" w:rsidRPr="00D229D8">
        <w:t xml:space="preserve">galt </w:t>
      </w:r>
      <w:r w:rsidR="00025F02" w:rsidRPr="00D229D8">
        <w:t>dagegen</w:t>
      </w:r>
      <w:r w:rsidR="0072151C" w:rsidRPr="00D229D8">
        <w:t xml:space="preserve"> weitgehend als Privatsache</w:t>
      </w:r>
      <w:r w:rsidR="009031CC" w:rsidRPr="00D229D8">
        <w:t>, seine spez</w:t>
      </w:r>
      <w:r w:rsidR="009031CC" w:rsidRPr="00D229D8">
        <w:t>i</w:t>
      </w:r>
      <w:r w:rsidR="009031CC" w:rsidRPr="00D229D8">
        <w:t>elle Betonung als unüblich</w:t>
      </w:r>
      <w:r w:rsidR="0072151C" w:rsidRPr="00D229D8">
        <w:t>. Viele</w:t>
      </w:r>
      <w:r w:rsidR="005F6E54">
        <w:t xml:space="preserve"> – i</w:t>
      </w:r>
      <w:r w:rsidR="0072151C" w:rsidRPr="00D229D8">
        <w:t>m Sinne der nationalsozialistischen biologistischen Ide</w:t>
      </w:r>
      <w:r w:rsidR="0072151C" w:rsidRPr="00D229D8">
        <w:t>o</w:t>
      </w:r>
      <w:r w:rsidR="0072151C" w:rsidRPr="00D229D8">
        <w:t xml:space="preserve">logie „Juden“ </w:t>
      </w:r>
      <w:r w:rsidR="005F6E54">
        <w:t>– w</w:t>
      </w:r>
      <w:r w:rsidR="0072151C" w:rsidRPr="00D229D8">
        <w:t xml:space="preserve">aren </w:t>
      </w:r>
      <w:r w:rsidR="00025F02" w:rsidRPr="00D229D8">
        <w:t>darüber hinaus</w:t>
      </w:r>
      <w:r w:rsidR="0072151C" w:rsidRPr="00D229D8">
        <w:t xml:space="preserve"> nicht mehr Mitglied der jüdischen Religionsgemei</w:t>
      </w:r>
      <w:r w:rsidR="0072151C" w:rsidRPr="00D229D8">
        <w:t>n</w:t>
      </w:r>
      <w:r w:rsidR="0072151C" w:rsidRPr="00D229D8">
        <w:t xml:space="preserve">schaft, waren konvertiert oder </w:t>
      </w:r>
      <w:r w:rsidR="009031CC" w:rsidRPr="00D229D8">
        <w:t xml:space="preserve">sie bekannten sich </w:t>
      </w:r>
      <w:r w:rsidR="00D6602D" w:rsidRPr="00D229D8">
        <w:t>allenfalls</w:t>
      </w:r>
      <w:r w:rsidR="0072151C" w:rsidRPr="00D229D8">
        <w:t xml:space="preserve"> </w:t>
      </w:r>
      <w:r w:rsidR="009031CC" w:rsidRPr="00D229D8">
        <w:t xml:space="preserve">aus Gründen </w:t>
      </w:r>
      <w:r w:rsidR="00D6602D" w:rsidRPr="00D229D8">
        <w:t>der</w:t>
      </w:r>
      <w:r w:rsidR="009031CC" w:rsidRPr="00D229D8">
        <w:t xml:space="preserve"> familiäre</w:t>
      </w:r>
      <w:r w:rsidR="00F613A0">
        <w:t>n</w:t>
      </w:r>
      <w:r w:rsidR="009031CC" w:rsidRPr="00D229D8">
        <w:t xml:space="preserve"> Trad</w:t>
      </w:r>
      <w:r w:rsidR="009031CC" w:rsidRPr="00D229D8">
        <w:t>i</w:t>
      </w:r>
      <w:r w:rsidR="009031CC" w:rsidRPr="00D229D8">
        <w:t xml:space="preserve">tion zum „mosaischen Glauben“. </w:t>
      </w:r>
      <w:r w:rsidR="00E973E2" w:rsidRPr="00D229D8">
        <w:t>– D</w:t>
      </w:r>
      <w:r w:rsidR="009031CC" w:rsidRPr="00D229D8">
        <w:t>ie Situation änderte sich jedoch</w:t>
      </w:r>
      <w:r w:rsidR="00025F02" w:rsidRPr="00D229D8">
        <w:t xml:space="preserve"> grundlegend</w:t>
      </w:r>
      <w:r w:rsidR="009031CC" w:rsidRPr="00D229D8">
        <w:t xml:space="preserve">, als die nationalsozialistische Politik einen immer klareren und eindeutigeren Charakter gewann. Nun </w:t>
      </w:r>
      <w:r w:rsidR="00E973E2" w:rsidRPr="00D229D8">
        <w:t>erhielt</w:t>
      </w:r>
      <w:r w:rsidR="009031CC" w:rsidRPr="00D229D8">
        <w:t xml:space="preserve"> die </w:t>
      </w:r>
      <w:r w:rsidR="008E7E71" w:rsidRPr="00D229D8">
        <w:t>Z</w:t>
      </w:r>
      <w:r w:rsidR="009031CC" w:rsidRPr="00D229D8">
        <w:t>ugehörigkeit zu</w:t>
      </w:r>
      <w:r w:rsidR="00025F02" w:rsidRPr="00D229D8">
        <w:t>m Judentum</w:t>
      </w:r>
      <w:r w:rsidR="008E7E71" w:rsidRPr="00D229D8">
        <w:t xml:space="preserve"> </w:t>
      </w:r>
      <w:r w:rsidR="00D6602D" w:rsidRPr="00D229D8">
        <w:t xml:space="preserve">eine ganz andere, existenzielle Bedeutung. </w:t>
      </w:r>
      <w:r w:rsidR="00025F02" w:rsidRPr="00D229D8">
        <w:t xml:space="preserve">Sie wurde zu einem identitätsstiftenden Moment, das in einer Extremsituation </w:t>
      </w:r>
      <w:r w:rsidR="00382838" w:rsidRPr="00D229D8">
        <w:t>Hilfe, ein gewisses Maß an Sicherheit und die Gemeinschaft von Personen bedeutete, die sich in ähnlicher Lage b</w:t>
      </w:r>
      <w:r w:rsidR="00382838" w:rsidRPr="00D229D8">
        <w:t>e</w:t>
      </w:r>
      <w:r w:rsidR="00382838" w:rsidRPr="00D229D8">
        <w:t>fanden</w:t>
      </w:r>
      <w:r w:rsidR="00025F02" w:rsidRPr="00D229D8">
        <w:t xml:space="preserve">. </w:t>
      </w:r>
      <w:r w:rsidR="00382838" w:rsidRPr="00D229D8">
        <w:t xml:space="preserve">Hand in Hand verändert sich auch der organisatorische Status: </w:t>
      </w:r>
      <w:r w:rsidR="00D6602D" w:rsidRPr="00D229D8">
        <w:t xml:space="preserve">Die Gruppe benötigte eine </w:t>
      </w:r>
      <w:r w:rsidR="00E973E2" w:rsidRPr="00D229D8">
        <w:t>Repräsentanz</w:t>
      </w:r>
      <w:r w:rsidR="00D6602D" w:rsidRPr="00D229D8">
        <w:t>, die sie gegenüber den nationalsozialistischen Institutionen, aber auch g</w:t>
      </w:r>
      <w:r w:rsidR="00D6602D" w:rsidRPr="00D229D8">
        <w:t>e</w:t>
      </w:r>
      <w:r w:rsidR="00D6602D" w:rsidRPr="00D229D8">
        <w:t xml:space="preserve">genüber dem Ausland vertrat, die </w:t>
      </w:r>
      <w:r w:rsidR="00382838" w:rsidRPr="00D229D8">
        <w:t xml:space="preserve">im Bedarfsfalle </w:t>
      </w:r>
      <w:r w:rsidR="00D6602D" w:rsidRPr="00D229D8">
        <w:t xml:space="preserve">Hilfe und Unterstützung </w:t>
      </w:r>
      <w:r w:rsidR="00382838" w:rsidRPr="00D229D8">
        <w:t>gewährt</w:t>
      </w:r>
      <w:r w:rsidR="00D6602D" w:rsidRPr="00D229D8">
        <w:t xml:space="preserve">e, Rat in Hinblick auf die Modalitäten der </w:t>
      </w:r>
      <w:r w:rsidR="00ED4077" w:rsidRPr="00D229D8">
        <w:t>Emigration</w:t>
      </w:r>
      <w:r w:rsidR="00D6602D" w:rsidRPr="00D229D8">
        <w:t xml:space="preserve"> erteilte und anderes mehr.</w:t>
      </w:r>
      <w:r w:rsidR="00E973E2" w:rsidRPr="00D229D8">
        <w:rPr>
          <w:rStyle w:val="Funotenzeichen"/>
        </w:rPr>
        <w:footnoteReference w:id="28"/>
      </w:r>
      <w:r w:rsidR="00E973E2" w:rsidRPr="00D229D8">
        <w:t xml:space="preserve"> </w:t>
      </w:r>
      <w:r w:rsidR="00ED4077" w:rsidRPr="00D229D8">
        <w:t>Hier wurde im W</w:t>
      </w:r>
      <w:r w:rsidR="00ED4077" w:rsidRPr="00D229D8">
        <w:t>e</w:t>
      </w:r>
      <w:r w:rsidR="00ED4077" w:rsidRPr="00D229D8">
        <w:t>sentlichen auf bereits bestehende Organisationsstrukturen</w:t>
      </w:r>
      <w:r w:rsidR="00382838" w:rsidRPr="00D229D8">
        <w:t xml:space="preserve">, insbesondere auf Strukturen im Rahmen des </w:t>
      </w:r>
      <w:proofErr w:type="spellStart"/>
      <w:r w:rsidR="00382838" w:rsidRPr="00D229D8">
        <w:t>Centralvereins</w:t>
      </w:r>
      <w:proofErr w:type="spellEnd"/>
      <w:r w:rsidR="00382838" w:rsidRPr="00D229D8">
        <w:t xml:space="preserve"> deutscher Staatsbürger jüdischen Glaubens</w:t>
      </w:r>
      <w:r w:rsidR="00ED4077" w:rsidRPr="00D229D8">
        <w:t xml:space="preserve"> zurückgegriffen. Wenn in der Exilforschung in Abgrenzung von „</w:t>
      </w:r>
      <w:r w:rsidR="00382838" w:rsidRPr="00D229D8">
        <w:t>p</w:t>
      </w:r>
      <w:r w:rsidR="00ED4077" w:rsidRPr="00D229D8">
        <w:t>olitischen Exil“ vom „</w:t>
      </w:r>
      <w:r w:rsidR="00382838" w:rsidRPr="00D229D8">
        <w:t>j</w:t>
      </w:r>
      <w:r w:rsidR="00ED4077" w:rsidRPr="00D229D8">
        <w:t>üdischen Exil“ g</w:t>
      </w:r>
      <w:r w:rsidR="00ED4077" w:rsidRPr="00D229D8">
        <w:t>e</w:t>
      </w:r>
      <w:r w:rsidR="00ED4077" w:rsidRPr="00D229D8">
        <w:t xml:space="preserve">sprochen wird, </w:t>
      </w:r>
      <w:r w:rsidR="00676160" w:rsidRPr="00D229D8">
        <w:t>dann bezieht sich der Begriff auf</w:t>
      </w:r>
      <w:r w:rsidR="00ED4077" w:rsidRPr="00D229D8">
        <w:t xml:space="preserve"> diese</w:t>
      </w:r>
      <w:r w:rsidR="00676160" w:rsidRPr="00D229D8">
        <w:t>n</w:t>
      </w:r>
      <w:r w:rsidR="00ED4077" w:rsidRPr="00D229D8">
        <w:t xml:space="preserve"> Zusammenhang.</w:t>
      </w:r>
      <w:r w:rsidR="00ED4077" w:rsidRPr="00D229D8">
        <w:rPr>
          <w:rStyle w:val="Funotenzeichen"/>
        </w:rPr>
        <w:footnoteReference w:id="29"/>
      </w:r>
    </w:p>
    <w:p w:rsidR="00676160" w:rsidRPr="00D229D8" w:rsidRDefault="00676160" w:rsidP="000F7A9D">
      <w:pPr>
        <w:spacing w:after="0"/>
        <w:ind w:firstLine="708"/>
        <w:jc w:val="both"/>
      </w:pPr>
    </w:p>
    <w:p w:rsidR="00105E70" w:rsidRPr="00D229D8" w:rsidRDefault="00676160" w:rsidP="000F7A9D">
      <w:pPr>
        <w:spacing w:after="0"/>
        <w:ind w:firstLine="708"/>
        <w:jc w:val="both"/>
      </w:pPr>
      <w:r w:rsidRPr="00D229D8">
        <w:t xml:space="preserve">Es ist </w:t>
      </w:r>
      <w:r w:rsidR="005F6E54">
        <w:t>das Anliegen dieser</w:t>
      </w:r>
      <w:r w:rsidRPr="00D229D8">
        <w:t xml:space="preserve"> </w:t>
      </w:r>
      <w:r w:rsidR="006B190B" w:rsidRPr="00D229D8">
        <w:t>Untersuch</w:t>
      </w:r>
      <w:r w:rsidRPr="00D229D8">
        <w:t>ung, die unterschiedlichen Textgruppen, literar</w:t>
      </w:r>
      <w:r w:rsidRPr="00D229D8">
        <w:t>i</w:t>
      </w:r>
      <w:r w:rsidRPr="00D229D8">
        <w:t>schen Formen und Genres, die mit der Verfolgung bzw. Ermordung der jüdischen Bevölk</w:t>
      </w:r>
      <w:r w:rsidRPr="00D229D8">
        <w:t>e</w:t>
      </w:r>
      <w:r w:rsidRPr="00D229D8">
        <w:t>rungsgruppe in Verbindung stehen, im Zusammenhang des historischen Geschehens: also den unterschiedlichen Stufen der Verfolgung und des Terrors, darzustellen.</w:t>
      </w:r>
      <w:r w:rsidR="006B190B" w:rsidRPr="00D229D8">
        <w:t xml:space="preserve"> Das kann verständl</w:t>
      </w:r>
      <w:r w:rsidR="006B190B" w:rsidRPr="00D229D8">
        <w:t>i</w:t>
      </w:r>
      <w:r w:rsidR="006B190B" w:rsidRPr="00D229D8">
        <w:t>cherweise nur in Auswahl und anhand exemplarischer Beispiele geschehen. Das Ziel ist es, das Geschehen aus der Wahrnehmungsperspektive der Betroffenen darzustellen, Strategien ihres Agierens und Reagierens aufzuzeigen</w:t>
      </w:r>
      <w:r w:rsidR="00105E70" w:rsidRPr="00D229D8">
        <w:t xml:space="preserve">. </w:t>
      </w:r>
      <w:r w:rsidR="00913E79" w:rsidRPr="00D229D8">
        <w:t>Dabei</w:t>
      </w:r>
      <w:r w:rsidR="006B190B" w:rsidRPr="00D229D8">
        <w:t xml:space="preserve"> </w:t>
      </w:r>
      <w:r w:rsidR="00105E70" w:rsidRPr="00D229D8">
        <w:t>soll</w:t>
      </w:r>
      <w:r w:rsidR="006B190B" w:rsidRPr="00D229D8">
        <w:t xml:space="preserve"> de</w:t>
      </w:r>
      <w:r w:rsidR="00105E70" w:rsidRPr="00D229D8">
        <w:t>r</w:t>
      </w:r>
      <w:r w:rsidR="006B190B" w:rsidRPr="00D229D8">
        <w:t xml:space="preserve"> Blick </w:t>
      </w:r>
      <w:r w:rsidR="00913E79" w:rsidRPr="00D229D8">
        <w:t xml:space="preserve">auch </w:t>
      </w:r>
      <w:r w:rsidR="006B190B" w:rsidRPr="00D229D8">
        <w:t xml:space="preserve">auf die Zeit nach Ende der Diktatur </w:t>
      </w:r>
      <w:r w:rsidR="00105E70" w:rsidRPr="00D229D8">
        <w:t>ge</w:t>
      </w:r>
      <w:r w:rsidR="006B190B" w:rsidRPr="00D229D8">
        <w:t>lenk</w:t>
      </w:r>
      <w:r w:rsidR="00105E70" w:rsidRPr="00D229D8">
        <w:t>t werd</w:t>
      </w:r>
      <w:r w:rsidR="006B190B" w:rsidRPr="00D229D8">
        <w:t xml:space="preserve">en. </w:t>
      </w:r>
      <w:r w:rsidR="00105E70" w:rsidRPr="00D229D8">
        <w:t>Zahlreiche dieser Autorinnen und Autoren</w:t>
      </w:r>
      <w:r w:rsidR="00913E79" w:rsidRPr="00D229D8">
        <w:t xml:space="preserve"> </w:t>
      </w:r>
      <w:r w:rsidR="00105E70" w:rsidRPr="00D229D8">
        <w:t xml:space="preserve">lebten weiterhin – wie z.B. Peter </w:t>
      </w:r>
      <w:proofErr w:type="spellStart"/>
      <w:r w:rsidR="00105E70" w:rsidRPr="00D229D8">
        <w:t>Weiss</w:t>
      </w:r>
      <w:proofErr w:type="spellEnd"/>
      <w:r w:rsidR="00105E70" w:rsidRPr="00D229D8">
        <w:t xml:space="preserve"> – in ihren ehemaligen Aufnahmeländern, </w:t>
      </w:r>
      <w:r w:rsidR="00913E79" w:rsidRPr="00D229D8">
        <w:t>ihr</w:t>
      </w:r>
      <w:r w:rsidR="00105E70" w:rsidRPr="00D229D8">
        <w:t xml:space="preserve">en jetzigen Heimatländern, oder sie kehrten wie Erich Fried erst mit jahrzehntelanger Verzögerung in ihre Heimat zurück. Nichtsdestoweniger bestimmten sie durch ihre </w:t>
      </w:r>
      <w:r w:rsidR="00913E79" w:rsidRPr="00D229D8">
        <w:t>Autoritä</w:t>
      </w:r>
      <w:r w:rsidR="00105E70" w:rsidRPr="00D229D8">
        <w:t xml:space="preserve">t und durch die Themen ihres </w:t>
      </w:r>
      <w:proofErr w:type="spellStart"/>
      <w:r w:rsidR="00105E70" w:rsidRPr="00D229D8">
        <w:t>Œuvres</w:t>
      </w:r>
      <w:proofErr w:type="spellEnd"/>
      <w:r w:rsidR="00105E70" w:rsidRPr="00D229D8">
        <w:t xml:space="preserve"> in wesentlichen Teilen die Leitlinie der literarisch-intellektuellen Entwicklung</w:t>
      </w:r>
      <w:r w:rsidR="00697D94" w:rsidRPr="00D229D8">
        <w:t xml:space="preserve"> sowohl in der Bundesrepublik, in der DDR und in Österreich</w:t>
      </w:r>
      <w:r w:rsidR="00105E70" w:rsidRPr="00D229D8">
        <w:t>.</w:t>
      </w:r>
    </w:p>
    <w:p w:rsidR="00105E70" w:rsidRPr="007F7D43" w:rsidRDefault="007F7D43" w:rsidP="000F7A9D">
      <w:pPr>
        <w:spacing w:after="0"/>
        <w:jc w:val="both"/>
        <w:rPr>
          <w:u w:val="single"/>
        </w:rPr>
      </w:pPr>
      <w:r>
        <w:tab/>
        <w:t xml:space="preserve">Die Darstellung ist in drei Abschnitte gegliedert, die </w:t>
      </w:r>
      <w:r w:rsidR="008308FC">
        <w:t>zeitlich</w:t>
      </w:r>
      <w:r w:rsidR="008308FC">
        <w:t xml:space="preserve"> </w:t>
      </w:r>
      <w:r>
        <w:t>die Perioden von Verfo</w:t>
      </w:r>
      <w:r>
        <w:t>l</w:t>
      </w:r>
      <w:r>
        <w:t>gung, Segregation, Zwangsmigration, Holocaust und „</w:t>
      </w:r>
      <w:proofErr w:type="spellStart"/>
      <w:r>
        <w:t>diasporistischer</w:t>
      </w:r>
      <w:proofErr w:type="spellEnd"/>
      <w:r>
        <w:t xml:space="preserve"> Existenz“</w:t>
      </w:r>
      <w:r>
        <w:rPr>
          <w:rStyle w:val="Funotenzeichen"/>
        </w:rPr>
        <w:footnoteReference w:id="30"/>
      </w:r>
      <w:r>
        <w:t xml:space="preserve"> erfa</w:t>
      </w:r>
      <w:r>
        <w:t>s</w:t>
      </w:r>
      <w:r>
        <w:t xml:space="preserve">sen: </w:t>
      </w:r>
      <w:r w:rsidR="006608F8">
        <w:t xml:space="preserve">(1) </w:t>
      </w:r>
      <w:r w:rsidR="00173214">
        <w:t xml:space="preserve">1933 – 1938, </w:t>
      </w:r>
      <w:r w:rsidR="006608F8">
        <w:t xml:space="preserve">(2) </w:t>
      </w:r>
      <w:r w:rsidR="00173214">
        <w:t xml:space="preserve">1938 – 1948 und </w:t>
      </w:r>
      <w:r w:rsidR="006608F8">
        <w:t xml:space="preserve">(3) </w:t>
      </w:r>
      <w:r w:rsidR="00173214">
        <w:t>19</w:t>
      </w:r>
      <w:r w:rsidR="006608F8">
        <w:t>4</w:t>
      </w:r>
      <w:r w:rsidR="00173214">
        <w:t xml:space="preserve">8 ff. </w:t>
      </w:r>
      <w:r w:rsidR="006608F8">
        <w:t xml:space="preserve">Im ersten </w:t>
      </w:r>
      <w:r w:rsidR="008308FC">
        <w:t>Teil</w:t>
      </w:r>
      <w:r w:rsidR="006608F8">
        <w:t xml:space="preserve"> ist der Blick vorneh</w:t>
      </w:r>
      <w:r w:rsidR="006608F8">
        <w:t>m</w:t>
      </w:r>
      <w:r w:rsidR="006608F8">
        <w:t xml:space="preserve">lich auf </w:t>
      </w:r>
      <w:r w:rsidR="006608F8">
        <w:lastRenderedPageBreak/>
        <w:t xml:space="preserve">das „politische Exil“ gerichtet, im zweiten </w:t>
      </w:r>
      <w:r w:rsidR="008308FC">
        <w:t xml:space="preserve">Teil </w:t>
      </w:r>
      <w:r w:rsidR="006608F8">
        <w:t>auf die Auswirkungen der „Endlösung“</w:t>
      </w:r>
      <w:r w:rsidR="008308FC">
        <w:t xml:space="preserve"> und auf deren Vorstufen</w:t>
      </w:r>
      <w:r w:rsidR="006608F8">
        <w:t>, wobei der Blick auch auf Zeugnisse: Tagebücher, Familienkorrespo</w:t>
      </w:r>
      <w:r w:rsidR="006608F8">
        <w:t>n</w:t>
      </w:r>
      <w:r w:rsidR="006608F8">
        <w:t>denzen u.a.</w:t>
      </w:r>
      <w:r w:rsidR="008308FC">
        <w:t>,</w:t>
      </w:r>
      <w:r w:rsidR="008308FC" w:rsidRPr="008308FC">
        <w:t xml:space="preserve"> </w:t>
      </w:r>
      <w:r w:rsidR="008308FC">
        <w:t>ausgeweitet wird</w:t>
      </w:r>
      <w:r w:rsidR="006608F8">
        <w:t xml:space="preserve">, die </w:t>
      </w:r>
      <w:r w:rsidR="008308FC">
        <w:t xml:space="preserve">während dieser Periode </w:t>
      </w:r>
      <w:r w:rsidR="006608F8">
        <w:t>in den von Deutschland okkupie</w:t>
      </w:r>
      <w:r w:rsidR="006608F8">
        <w:t>r</w:t>
      </w:r>
      <w:r w:rsidR="006608F8">
        <w:t>ten Ländern entstehen, und im dritten Abschnitt auf</w:t>
      </w:r>
      <w:r w:rsidR="008308FC">
        <w:t xml:space="preserve"> den</w:t>
      </w:r>
      <w:r w:rsidR="006608F8">
        <w:t xml:space="preserve"> Rückblick</w:t>
      </w:r>
      <w:r w:rsidR="008308FC">
        <w:t xml:space="preserve"> der </w:t>
      </w:r>
      <w:r w:rsidR="008308FC">
        <w:t>„</w:t>
      </w:r>
      <w:proofErr w:type="spellStart"/>
      <w:r w:rsidR="008308FC">
        <w:t>Diasporisten</w:t>
      </w:r>
      <w:proofErr w:type="spellEnd"/>
      <w:r w:rsidR="008308FC">
        <w:t xml:space="preserve">“ </w:t>
      </w:r>
      <w:r w:rsidR="008308FC">
        <w:t xml:space="preserve">auf das Leben in Deutschland vor und während der </w:t>
      </w:r>
      <w:r w:rsidR="008308FC">
        <w:t>NS-Herrschaft</w:t>
      </w:r>
      <w:r w:rsidR="006608F8">
        <w:t xml:space="preserve">, </w:t>
      </w:r>
      <w:r w:rsidR="008308FC">
        <w:t>auf Verfolgung, Flucht und Hol</w:t>
      </w:r>
      <w:r w:rsidR="008308FC">
        <w:t>o</w:t>
      </w:r>
      <w:r w:rsidR="008308FC">
        <w:t xml:space="preserve">caust. </w:t>
      </w:r>
      <w:r w:rsidR="00173214">
        <w:t xml:space="preserve">Der Ausgangspunkt ist </w:t>
      </w:r>
      <w:r w:rsidR="006608F8">
        <w:t xml:space="preserve">dabei immer </w:t>
      </w:r>
      <w:r w:rsidR="00173214">
        <w:t>die nationalsozialistische Verfolgungs- bzw. Ve</w:t>
      </w:r>
      <w:r w:rsidR="00173214">
        <w:t>r</w:t>
      </w:r>
      <w:r w:rsidR="00173214">
        <w:t>nichtungsp</w:t>
      </w:r>
      <w:r w:rsidR="00173214">
        <w:t>o</w:t>
      </w:r>
      <w:r w:rsidR="00173214">
        <w:t xml:space="preserve">litik. </w:t>
      </w:r>
    </w:p>
    <w:p w:rsidR="006608F8" w:rsidRPr="007F7D43" w:rsidRDefault="006608F8">
      <w:pPr>
        <w:spacing w:after="0"/>
        <w:jc w:val="both"/>
        <w:rPr>
          <w:u w:val="single"/>
        </w:rPr>
      </w:pPr>
      <w:bookmarkStart w:id="0" w:name="_GoBack"/>
      <w:bookmarkEnd w:id="0"/>
    </w:p>
    <w:sectPr w:rsidR="006608F8" w:rsidRPr="007F7D43"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93" w:rsidRDefault="00301F93" w:rsidP="001F4ACA">
      <w:pPr>
        <w:spacing w:after="0" w:line="240" w:lineRule="auto"/>
      </w:pPr>
      <w:r>
        <w:separator/>
      </w:r>
    </w:p>
  </w:endnote>
  <w:endnote w:type="continuationSeparator" w:id="0">
    <w:p w:rsidR="00301F93" w:rsidRDefault="00301F93" w:rsidP="001F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93" w:rsidRDefault="00301F93" w:rsidP="001F4ACA">
      <w:pPr>
        <w:spacing w:after="0" w:line="240" w:lineRule="auto"/>
      </w:pPr>
      <w:r>
        <w:separator/>
      </w:r>
    </w:p>
  </w:footnote>
  <w:footnote w:type="continuationSeparator" w:id="0">
    <w:p w:rsidR="00301F93" w:rsidRDefault="00301F93" w:rsidP="001F4ACA">
      <w:pPr>
        <w:spacing w:after="0" w:line="240" w:lineRule="auto"/>
      </w:pPr>
      <w:r>
        <w:continuationSeparator/>
      </w:r>
    </w:p>
  </w:footnote>
  <w:footnote w:id="1">
    <w:p w:rsidR="0073449B" w:rsidRDefault="0073449B" w:rsidP="006608F8">
      <w:pPr>
        <w:pStyle w:val="Funotentext"/>
        <w:jc w:val="both"/>
      </w:pPr>
      <w:r>
        <w:rPr>
          <w:rStyle w:val="Funotenzeichen"/>
        </w:rPr>
        <w:footnoteRef/>
      </w:r>
      <w:r>
        <w:t xml:space="preserve"> Es handelt sich hier um den erzwungenen Rücktritt Heinrich Manns vom Vorsitz der „Sektion für Dichtkunst“ der Preußischen Akademie der Künste, das erzwungene Ausscheiden politisch und „rassisch“ belasteter Mitgli</w:t>
      </w:r>
      <w:r>
        <w:t>e</w:t>
      </w:r>
      <w:r>
        <w:t>der aus der Akademie und um die Bücherverbrennungen vom 10. Mai 1933.</w:t>
      </w:r>
    </w:p>
  </w:footnote>
  <w:footnote w:id="2">
    <w:p w:rsidR="0073449B" w:rsidRDefault="0073449B" w:rsidP="006608F8">
      <w:pPr>
        <w:pStyle w:val="Funotentext"/>
        <w:jc w:val="both"/>
      </w:pPr>
      <w:r>
        <w:rPr>
          <w:rStyle w:val="Funotenzeichen"/>
        </w:rPr>
        <w:footnoteRef/>
      </w:r>
      <w:r>
        <w:t xml:space="preserve"> Ludolf Herbst: </w:t>
      </w:r>
      <w:r>
        <w:rPr>
          <w:i/>
        </w:rPr>
        <w:t xml:space="preserve">Das nationalsozialistische Deutschland 1933-1945. </w:t>
      </w:r>
      <w:r>
        <w:t xml:space="preserve">Die Entfesselung der Gewalt: Rassismus und Krieg. (= </w:t>
      </w:r>
      <w:r>
        <w:rPr>
          <w:i/>
        </w:rPr>
        <w:t xml:space="preserve">Moderne Deutsche Geschichte. </w:t>
      </w:r>
      <w:r>
        <w:t>Bd. 10). Darmstadt 1996, S. 76 f.</w:t>
      </w:r>
    </w:p>
  </w:footnote>
  <w:footnote w:id="3">
    <w:p w:rsidR="0073449B" w:rsidRDefault="0073449B" w:rsidP="006608F8">
      <w:pPr>
        <w:pStyle w:val="Funotentext"/>
        <w:jc w:val="both"/>
      </w:pPr>
      <w:r>
        <w:rPr>
          <w:rStyle w:val="Funotenzeichen"/>
        </w:rPr>
        <w:footnoteRef/>
      </w:r>
      <w:r>
        <w:t xml:space="preserve"> Vgl. </w:t>
      </w:r>
      <w:r>
        <w:rPr>
          <w:i/>
        </w:rPr>
        <w:t>Biographisches Handbuch der deutschsprachigen Emigration nach 1933.</w:t>
      </w:r>
      <w:r>
        <w:t xml:space="preserve"> Hrsg. von Werner Röder und Herbert A. </w:t>
      </w:r>
      <w:proofErr w:type="spellStart"/>
      <w:r>
        <w:t>Strauss</w:t>
      </w:r>
      <w:proofErr w:type="spellEnd"/>
      <w:r>
        <w:t>. Bd. I. München [u.a.] 1980, S. XIX.</w:t>
      </w:r>
    </w:p>
  </w:footnote>
  <w:footnote w:id="4">
    <w:p w:rsidR="0073449B" w:rsidRDefault="0073449B" w:rsidP="006608F8">
      <w:pPr>
        <w:pStyle w:val="Funotentext"/>
        <w:jc w:val="both"/>
      </w:pPr>
      <w:r>
        <w:rPr>
          <w:rStyle w:val="Funotenzeichen"/>
        </w:rPr>
        <w:footnoteRef/>
      </w:r>
      <w:r>
        <w:t xml:space="preserve"> Röder im </w:t>
      </w:r>
      <w:r w:rsidRPr="002C3BF8">
        <w:rPr>
          <w:i/>
        </w:rPr>
        <w:t>Handbuch</w:t>
      </w:r>
      <w:r>
        <w:rPr>
          <w:i/>
        </w:rPr>
        <w:t xml:space="preserve"> der deutschsprachigen Emigration 1933-1945.</w:t>
      </w:r>
      <w:r>
        <w:t xml:space="preserve"> Hrsg. von Claus-Dieter Krohn, Patrik von zur Mühlen, Gerhard Paul u. Lutz Winckler. Darmstadt 1998, </w:t>
      </w:r>
      <w:proofErr w:type="spellStart"/>
      <w:r>
        <w:t>Sp</w:t>
      </w:r>
      <w:proofErr w:type="spellEnd"/>
      <w:r>
        <w:t>. 23.</w:t>
      </w:r>
    </w:p>
  </w:footnote>
  <w:footnote w:id="5">
    <w:p w:rsidR="0073449B" w:rsidRDefault="0073449B" w:rsidP="006608F8">
      <w:pPr>
        <w:pStyle w:val="Funotentext"/>
        <w:jc w:val="both"/>
      </w:pPr>
      <w:r>
        <w:rPr>
          <w:rStyle w:val="Funotenzeichen"/>
        </w:rPr>
        <w:footnoteRef/>
      </w:r>
      <w:r>
        <w:t xml:space="preserve"> Alfred Kerr verließ Deutschland am 15. Februar, Heinrich Mann am 21. Februar 1933.</w:t>
      </w:r>
    </w:p>
  </w:footnote>
  <w:footnote w:id="6">
    <w:p w:rsidR="0073449B" w:rsidRPr="00E8399A" w:rsidRDefault="0073449B" w:rsidP="006608F8">
      <w:pPr>
        <w:pStyle w:val="Funotentext"/>
        <w:jc w:val="both"/>
      </w:pPr>
      <w:r>
        <w:rPr>
          <w:rStyle w:val="Funotenzeichen"/>
        </w:rPr>
        <w:footnoteRef/>
      </w:r>
      <w:r>
        <w:t xml:space="preserve"> </w:t>
      </w:r>
      <w:r w:rsidRPr="00E8399A">
        <w:t>Werner Röder</w:t>
      </w:r>
      <w:r>
        <w:t xml:space="preserve">: Einleitung. – In: </w:t>
      </w:r>
      <w:r w:rsidRPr="000C0C60">
        <w:rPr>
          <w:i/>
        </w:rPr>
        <w:t>Biographischen Handbuch</w:t>
      </w:r>
      <w:r>
        <w:t>, a.a.O.</w:t>
      </w:r>
      <w:r w:rsidRPr="00E8399A">
        <w:t>, S. XIII.</w:t>
      </w:r>
    </w:p>
  </w:footnote>
  <w:footnote w:id="7">
    <w:p w:rsidR="0073449B" w:rsidRDefault="0073449B" w:rsidP="006608F8">
      <w:pPr>
        <w:spacing w:after="0" w:line="240" w:lineRule="auto"/>
        <w:jc w:val="both"/>
      </w:pPr>
      <w:r>
        <w:rPr>
          <w:rStyle w:val="Funotenzeichen"/>
        </w:rPr>
        <w:footnoteRef/>
      </w:r>
      <w:r>
        <w:t xml:space="preserve"> </w:t>
      </w:r>
      <w:r w:rsidRPr="00E8399A">
        <w:rPr>
          <w:sz w:val="20"/>
          <w:szCs w:val="20"/>
        </w:rPr>
        <w:t>Eine exakte Zahl lässt sich nur schwer angeben. Die noch immer maßgebliche Bibliografie von Wilhelm Ster</w:t>
      </w:r>
      <w:r w:rsidRPr="00E8399A">
        <w:rPr>
          <w:sz w:val="20"/>
          <w:szCs w:val="20"/>
        </w:rPr>
        <w:t>n</w:t>
      </w:r>
      <w:r w:rsidRPr="00E8399A">
        <w:rPr>
          <w:sz w:val="20"/>
          <w:szCs w:val="20"/>
        </w:rPr>
        <w:t xml:space="preserve">feld und Eva Tiedemann </w:t>
      </w:r>
      <w:r>
        <w:rPr>
          <w:sz w:val="20"/>
          <w:szCs w:val="20"/>
        </w:rPr>
        <w:t>(</w:t>
      </w:r>
      <w:r>
        <w:rPr>
          <w:i/>
          <w:sz w:val="20"/>
          <w:szCs w:val="20"/>
        </w:rPr>
        <w:t xml:space="preserve">Deutsche Exil-Literatur 1933-1945. Eine Bio-Bibliographie. </w:t>
      </w:r>
      <w:r>
        <w:rPr>
          <w:sz w:val="20"/>
          <w:szCs w:val="20"/>
        </w:rPr>
        <w:t xml:space="preserve">2. Aufl. Heidelberg 1970) </w:t>
      </w:r>
      <w:r w:rsidRPr="00E8399A">
        <w:rPr>
          <w:sz w:val="20"/>
          <w:szCs w:val="20"/>
        </w:rPr>
        <w:t xml:space="preserve">nennt ca. </w:t>
      </w:r>
      <w:r>
        <w:rPr>
          <w:sz w:val="20"/>
          <w:szCs w:val="20"/>
        </w:rPr>
        <w:t>1.900</w:t>
      </w:r>
      <w:r w:rsidRPr="00E8399A">
        <w:rPr>
          <w:sz w:val="20"/>
          <w:szCs w:val="20"/>
        </w:rPr>
        <w:t xml:space="preserve"> Autorinnen und Autoren, das </w:t>
      </w:r>
      <w:r w:rsidRPr="002C3BF8">
        <w:rPr>
          <w:i/>
          <w:sz w:val="20"/>
          <w:szCs w:val="20"/>
        </w:rPr>
        <w:t>Lexikon deutschsprachige</w:t>
      </w:r>
      <w:r>
        <w:rPr>
          <w:i/>
          <w:sz w:val="20"/>
          <w:szCs w:val="20"/>
        </w:rPr>
        <w:t>r</w:t>
      </w:r>
      <w:r w:rsidRPr="00E8399A">
        <w:rPr>
          <w:sz w:val="20"/>
          <w:szCs w:val="20"/>
        </w:rPr>
        <w:t xml:space="preserve"> </w:t>
      </w:r>
      <w:r w:rsidRPr="002C3BF8">
        <w:rPr>
          <w:i/>
          <w:sz w:val="20"/>
          <w:szCs w:val="20"/>
        </w:rPr>
        <w:t>Schriftstellerinnen im Exil 1933</w:t>
      </w:r>
      <w:r>
        <w:rPr>
          <w:i/>
          <w:sz w:val="20"/>
          <w:szCs w:val="20"/>
        </w:rPr>
        <w:t>-</w:t>
      </w:r>
      <w:r w:rsidRPr="002C3BF8">
        <w:rPr>
          <w:i/>
          <w:sz w:val="20"/>
          <w:szCs w:val="20"/>
        </w:rPr>
        <w:t xml:space="preserve"> 1945</w:t>
      </w:r>
      <w:r w:rsidRPr="00E8399A">
        <w:rPr>
          <w:sz w:val="20"/>
          <w:szCs w:val="20"/>
        </w:rPr>
        <w:t xml:space="preserve"> von Renate Wall </w:t>
      </w:r>
      <w:r>
        <w:rPr>
          <w:sz w:val="20"/>
          <w:szCs w:val="20"/>
        </w:rPr>
        <w:t>(2 Bde. Freiburg 1995) 200</w:t>
      </w:r>
      <w:r w:rsidRPr="00E8399A">
        <w:rPr>
          <w:sz w:val="20"/>
          <w:szCs w:val="20"/>
        </w:rPr>
        <w:t xml:space="preserve"> Namen</w:t>
      </w:r>
      <w:r>
        <w:rPr>
          <w:sz w:val="20"/>
          <w:szCs w:val="20"/>
        </w:rPr>
        <w:t xml:space="preserve"> (und mehr)</w:t>
      </w:r>
      <w:r w:rsidRPr="00E8399A">
        <w:rPr>
          <w:sz w:val="20"/>
          <w:szCs w:val="20"/>
        </w:rPr>
        <w:t>. Beide Lexika überschneiden sich. Als vollstä</w:t>
      </w:r>
      <w:r w:rsidRPr="00E8399A">
        <w:rPr>
          <w:sz w:val="20"/>
          <w:szCs w:val="20"/>
        </w:rPr>
        <w:t>n</w:t>
      </w:r>
      <w:r w:rsidRPr="00E8399A">
        <w:rPr>
          <w:sz w:val="20"/>
          <w:szCs w:val="20"/>
        </w:rPr>
        <w:t>dig sind sie aus Gründen, die noch zu erörtern sein werden, auf keinen Fall anzusehen.</w:t>
      </w:r>
    </w:p>
  </w:footnote>
  <w:footnote w:id="8">
    <w:p w:rsidR="0073449B" w:rsidRDefault="0073449B" w:rsidP="006608F8">
      <w:pPr>
        <w:pStyle w:val="Funotentext"/>
        <w:jc w:val="both"/>
      </w:pPr>
      <w:r>
        <w:rPr>
          <w:rStyle w:val="Funotenzeichen"/>
        </w:rPr>
        <w:footnoteRef/>
      </w:r>
      <w:r>
        <w:t xml:space="preserve"> Die ‚österreichische Exilliteratur‘ von der „reichsdeutschen“ Exilliteratur zu trennen, wie es z.T. inzwischen üblich geworden ist, ist nur bedingt sinnvoll. In der Weimarer Republik waren ‚österreichische‘ Autoren wie Stefan Zweig, Joseph Roth oder </w:t>
      </w:r>
      <w:proofErr w:type="spellStart"/>
      <w:r>
        <w:t>Ödön</w:t>
      </w:r>
      <w:proofErr w:type="spellEnd"/>
      <w:r>
        <w:t xml:space="preserve"> von Horváth nicht bloß präsent – sie waren vielmehr markante, prägnante Elemente dieses literarischen Systems. Der Grund lag in der Attraktivität Berlins als einer europäischen Metr</w:t>
      </w:r>
      <w:r>
        <w:t>o</w:t>
      </w:r>
      <w:r>
        <w:t>pole. Dass der „Anschluss“, die Annexion Österreichs, einen speziellen Emigrationsschub auslöste und dass die österreichische Emigration sich politisch selbständig organisierte, sind Phänomene, die auf anderer Ebene liegen.</w:t>
      </w:r>
    </w:p>
  </w:footnote>
  <w:footnote w:id="9">
    <w:p w:rsidR="0073449B" w:rsidRDefault="0073449B" w:rsidP="006608F8">
      <w:pPr>
        <w:pStyle w:val="Funotentext"/>
        <w:jc w:val="both"/>
      </w:pPr>
      <w:r>
        <w:rPr>
          <w:rStyle w:val="Funotenzeichen"/>
        </w:rPr>
        <w:footnoteRef/>
      </w:r>
      <w:r>
        <w:t xml:space="preserve">Vgl. </w:t>
      </w:r>
      <w:proofErr w:type="spellStart"/>
      <w:r>
        <w:t>Balder</w:t>
      </w:r>
      <w:proofErr w:type="spellEnd"/>
      <w:r>
        <w:t xml:space="preserve"> </w:t>
      </w:r>
      <w:proofErr w:type="spellStart"/>
      <w:r>
        <w:t>Olden</w:t>
      </w:r>
      <w:proofErr w:type="spellEnd"/>
      <w:r>
        <w:t xml:space="preserve">: Mir wäre nichts Besonderes passiert. – In: </w:t>
      </w:r>
      <w:r>
        <w:rPr>
          <w:i/>
        </w:rPr>
        <w:t xml:space="preserve">Neue Deutsche Blätter, </w:t>
      </w:r>
      <w:r>
        <w:t xml:space="preserve">Jg. 1 (1933), H. 3, S. 139-141. Da </w:t>
      </w:r>
      <w:proofErr w:type="spellStart"/>
      <w:r>
        <w:t>Olden</w:t>
      </w:r>
      <w:proofErr w:type="spellEnd"/>
      <w:r>
        <w:t xml:space="preserve"> – im Sinne der Rassenideologie – „Jude“ war, wäre er im Falle seines Verbleibens durchaus Ve</w:t>
      </w:r>
      <w:r>
        <w:t>r</w:t>
      </w:r>
      <w:r>
        <w:t>folgungen ausgesetzt gewesen. Man ging in der Regel – wie Heinrich Mann – ins Exil, weil man Warnungen vor einer Verhaftung erhalten hatte.</w:t>
      </w:r>
    </w:p>
  </w:footnote>
  <w:footnote w:id="10">
    <w:p w:rsidR="0073449B" w:rsidRPr="00676B1E" w:rsidRDefault="0073449B" w:rsidP="006608F8">
      <w:pPr>
        <w:pStyle w:val="Funotentext"/>
        <w:jc w:val="both"/>
      </w:pPr>
      <w:r>
        <w:rPr>
          <w:rStyle w:val="Funotenzeichen"/>
        </w:rPr>
        <w:footnoteRef/>
      </w:r>
      <w:r>
        <w:t xml:space="preserve"> Walter A. </w:t>
      </w:r>
      <w:proofErr w:type="spellStart"/>
      <w:r>
        <w:t>Berendsohn</w:t>
      </w:r>
      <w:proofErr w:type="spellEnd"/>
      <w:r>
        <w:t xml:space="preserve">: </w:t>
      </w:r>
      <w:r w:rsidRPr="00267245">
        <w:rPr>
          <w:i/>
        </w:rPr>
        <w:t>Die humanistische Front</w:t>
      </w:r>
      <w:r>
        <w:t>. Zürich 1946.</w:t>
      </w:r>
    </w:p>
  </w:footnote>
  <w:footnote w:id="11">
    <w:p w:rsidR="0073449B" w:rsidRDefault="0073449B" w:rsidP="006608F8">
      <w:pPr>
        <w:pStyle w:val="Funotentext"/>
        <w:tabs>
          <w:tab w:val="center" w:pos="4536"/>
        </w:tabs>
        <w:jc w:val="both"/>
      </w:pPr>
      <w:r>
        <w:rPr>
          <w:rStyle w:val="Funotenzeichen"/>
        </w:rPr>
        <w:footnoteRef/>
      </w:r>
      <w:r>
        <w:t xml:space="preserve"> Hans Georg Lehmann: </w:t>
      </w:r>
      <w:r>
        <w:rPr>
          <w:i/>
        </w:rPr>
        <w:t>In Acht und Bann</w:t>
      </w:r>
      <w:r>
        <w:t>. München 1976, S. 73.</w:t>
      </w:r>
    </w:p>
  </w:footnote>
  <w:footnote w:id="12">
    <w:p w:rsidR="0073449B" w:rsidRDefault="0073449B" w:rsidP="006608F8">
      <w:pPr>
        <w:pStyle w:val="Funotentext"/>
        <w:jc w:val="both"/>
      </w:pPr>
      <w:r>
        <w:rPr>
          <w:rStyle w:val="Funotenzeichen"/>
        </w:rPr>
        <w:footnoteRef/>
      </w:r>
      <w:r>
        <w:t xml:space="preserve"> Hier muss die Tatsache ausgeblendet werden, dass zwischen 1933 und 1945 in Österreich und der Schweiz natürlich ebenfalls deutsche Literatur entstand. Als Absatzmarkt für die deutschsprachige Literatur besaß das Dritte Reich jedoch eine derart beherrschende Stellung, dass dieser Sachverhalt zunächst einmal ausgeblendet werden kann.</w:t>
      </w:r>
    </w:p>
  </w:footnote>
  <w:footnote w:id="13">
    <w:p w:rsidR="0073449B" w:rsidRDefault="0073449B" w:rsidP="006608F8">
      <w:pPr>
        <w:pStyle w:val="Funotentext"/>
        <w:jc w:val="both"/>
      </w:pPr>
      <w:r>
        <w:rPr>
          <w:rStyle w:val="Funotenzeichen"/>
        </w:rPr>
        <w:footnoteRef/>
      </w:r>
      <w:r>
        <w:t xml:space="preserve"> Unmittelbar nach Ende des Zweiten Weltkrieges waren jedoch bereits wichtige Anthologien entstanden, so </w:t>
      </w:r>
      <w:r>
        <w:rPr>
          <w:i/>
        </w:rPr>
        <w:t>Das Wort der Verfolgten.</w:t>
      </w:r>
      <w:r>
        <w:t xml:space="preserve"> Gedichte und Prosa, Briefe und Aufrufe deutscher Flüchtlinge von H. Heine und G. </w:t>
      </w:r>
      <w:proofErr w:type="spellStart"/>
      <w:r>
        <w:t>Herwegh</w:t>
      </w:r>
      <w:proofErr w:type="spellEnd"/>
      <w:r>
        <w:t xml:space="preserve"> bis B. Brecht und T. Mann. </w:t>
      </w:r>
      <w:r w:rsidRPr="00F5306D">
        <w:t xml:space="preserve">Hrsg. von </w:t>
      </w:r>
      <w:r>
        <w:t xml:space="preserve">Oswald Mohr (i.e. </w:t>
      </w:r>
      <w:r w:rsidRPr="00F5306D">
        <w:t>Bruno Kaiser</w:t>
      </w:r>
      <w:r>
        <w:t>)</w:t>
      </w:r>
      <w:r w:rsidRPr="00F5306D">
        <w:t xml:space="preserve">. </w:t>
      </w:r>
      <w:r>
        <w:t xml:space="preserve">Basel 1945; </w:t>
      </w:r>
      <w:r>
        <w:rPr>
          <w:i/>
        </w:rPr>
        <w:t>verboten und verbrannt.</w:t>
      </w:r>
      <w:r>
        <w:t xml:space="preserve"> Deutsche Literatur 12 Jahre unterdrückt. Hrsg. von Richard Drews und Alfred Kantorowicz. Berlin u. München 1947, F. C. </w:t>
      </w:r>
      <w:proofErr w:type="spellStart"/>
      <w:r>
        <w:t>Weiskopf</w:t>
      </w:r>
      <w:proofErr w:type="spellEnd"/>
      <w:r>
        <w:t xml:space="preserve">: </w:t>
      </w:r>
      <w:r>
        <w:rPr>
          <w:i/>
        </w:rPr>
        <w:t>Unter fremden Himmeln.</w:t>
      </w:r>
      <w:r>
        <w:t xml:space="preserve"> Ein </w:t>
      </w:r>
      <w:proofErr w:type="spellStart"/>
      <w:r>
        <w:t>Abriß</w:t>
      </w:r>
      <w:proofErr w:type="spellEnd"/>
      <w:r>
        <w:t xml:space="preserve"> der deutschen Literatur im Exil 1933-1947. Berlin 1948 u.a. – Die frühe in der DDR betriebene Exilforschung soll an dieser Stelle nicht thematisiert werden.</w:t>
      </w:r>
    </w:p>
  </w:footnote>
  <w:footnote w:id="14">
    <w:p w:rsidR="0073449B" w:rsidRPr="00B723EE" w:rsidRDefault="0073449B" w:rsidP="006608F8">
      <w:pPr>
        <w:pStyle w:val="Funotentext"/>
        <w:jc w:val="both"/>
      </w:pPr>
      <w:r>
        <w:rPr>
          <w:rStyle w:val="Funotenzeichen"/>
        </w:rPr>
        <w:footnoteRef/>
      </w:r>
      <w:r>
        <w:t xml:space="preserve"> Vgl. Uwe-K. </w:t>
      </w:r>
      <w:proofErr w:type="spellStart"/>
      <w:r>
        <w:t>Ketelsen</w:t>
      </w:r>
      <w:proofErr w:type="spellEnd"/>
      <w:r>
        <w:t xml:space="preserve">: </w:t>
      </w:r>
      <w:r>
        <w:rPr>
          <w:i/>
        </w:rPr>
        <w:t xml:space="preserve">Literatur und Drittes Reich. </w:t>
      </w:r>
      <w:proofErr w:type="spellStart"/>
      <w:r>
        <w:t>Schernfeld</w:t>
      </w:r>
      <w:proofErr w:type="spellEnd"/>
      <w:r>
        <w:t xml:space="preserve"> 1992.</w:t>
      </w:r>
    </w:p>
  </w:footnote>
  <w:footnote w:id="15">
    <w:p w:rsidR="0073449B" w:rsidRDefault="0073449B" w:rsidP="006608F8">
      <w:pPr>
        <w:pStyle w:val="Funotentext"/>
        <w:jc w:val="both"/>
      </w:pPr>
      <w:r>
        <w:rPr>
          <w:rStyle w:val="Funotenzeichen"/>
        </w:rPr>
        <w:footnoteRef/>
      </w:r>
      <w:r>
        <w:t xml:space="preserve"> Vgl. neben anderen Ralf Schnell: </w:t>
      </w:r>
      <w:r>
        <w:rPr>
          <w:i/>
        </w:rPr>
        <w:t xml:space="preserve">Literarische </w:t>
      </w:r>
      <w:proofErr w:type="spellStart"/>
      <w:r>
        <w:rPr>
          <w:i/>
        </w:rPr>
        <w:t>Innere</w:t>
      </w:r>
      <w:proofErr w:type="spellEnd"/>
      <w:r>
        <w:rPr>
          <w:i/>
        </w:rPr>
        <w:t xml:space="preserve"> Emigration 1933-1945.</w:t>
      </w:r>
      <w:r>
        <w:t xml:space="preserve"> Stuttgart 1976. – Der Begriff der „inneren Emigration“ ist fragwürdig, weil hier eine Vermischung unterschiedlicher Aspekte stattfindet. Der Begriff umfasst sowohl Oppositionelle, die dem NS-Staat ideologisch Vorschub geleistet hatten, nun aber durch Kritik oder – wie Benn – durch mangelnde künstlerische „Linientreue“ Aufmerksamkeit auf sich gezogen hatten und mit Publikationsverbot belegt wurden als auch diejenigen, </w:t>
      </w:r>
      <w:r w:rsidRPr="002C4DE3">
        <w:rPr>
          <w:i/>
        </w:rPr>
        <w:t>die als politisch oder rassisch Verfolgte mit L</w:t>
      </w:r>
      <w:r w:rsidRPr="002C4DE3">
        <w:rPr>
          <w:i/>
        </w:rPr>
        <w:t>e</w:t>
      </w:r>
      <w:r w:rsidRPr="002C4DE3">
        <w:rPr>
          <w:i/>
        </w:rPr>
        <w:t>bensgefahr zu kämpfen hatten</w:t>
      </w:r>
      <w:r>
        <w:t xml:space="preserve">. </w:t>
      </w:r>
    </w:p>
  </w:footnote>
  <w:footnote w:id="16">
    <w:p w:rsidR="0073449B" w:rsidRDefault="0073449B" w:rsidP="006608F8">
      <w:pPr>
        <w:pStyle w:val="Funotentext"/>
        <w:jc w:val="both"/>
      </w:pPr>
      <w:r>
        <w:rPr>
          <w:rStyle w:val="Funotenzeichen"/>
        </w:rPr>
        <w:footnoteRef/>
      </w:r>
      <w:r>
        <w:t xml:space="preserve"> Victor Klemperer: </w:t>
      </w:r>
      <w:r>
        <w:rPr>
          <w:i/>
        </w:rPr>
        <w:t>Ich will Zeugnis ablegen bis zum letzten.</w:t>
      </w:r>
      <w:r>
        <w:t xml:space="preserve"> Tagebücher 1933-1945. Hrsg. von Walter </w:t>
      </w:r>
      <w:proofErr w:type="spellStart"/>
      <w:r>
        <w:t>Nowojski</w:t>
      </w:r>
      <w:proofErr w:type="spellEnd"/>
      <w:r>
        <w:t xml:space="preserve">. 2 Bde. Berlin 1995, Willy Cohn: </w:t>
      </w:r>
      <w:r>
        <w:rPr>
          <w:i/>
        </w:rPr>
        <w:t>Kein Recht, nirgends.</w:t>
      </w:r>
      <w:r>
        <w:t xml:space="preserve"> Tagebuch vom Untergang des Breslauer J</w:t>
      </w:r>
      <w:r>
        <w:t>u</w:t>
      </w:r>
      <w:r>
        <w:t xml:space="preserve">dentums 1933-1941. Hrsg. von Norbert Conrads. 2 Bde. Köln [u.a.] 2007; Martin </w:t>
      </w:r>
      <w:proofErr w:type="spellStart"/>
      <w:r>
        <w:t>Doerry</w:t>
      </w:r>
      <w:proofErr w:type="spellEnd"/>
      <w:r>
        <w:t xml:space="preserve">: </w:t>
      </w:r>
      <w:r w:rsidRPr="000A5DC5">
        <w:rPr>
          <w:i/>
        </w:rPr>
        <w:t>„Mein verwundetes Herz“</w:t>
      </w:r>
      <w:r>
        <w:t>. Das Leben der Lilli Jahn 1900-1944. München 2002.</w:t>
      </w:r>
    </w:p>
  </w:footnote>
  <w:footnote w:id="17">
    <w:p w:rsidR="0073449B" w:rsidRPr="002824E4" w:rsidRDefault="0073449B" w:rsidP="006608F8">
      <w:pPr>
        <w:pStyle w:val="Funotentext"/>
        <w:jc w:val="both"/>
      </w:pPr>
      <w:r>
        <w:rPr>
          <w:rStyle w:val="Funotenzeichen"/>
        </w:rPr>
        <w:footnoteRef/>
      </w:r>
      <w:r>
        <w:t xml:space="preserve"> </w:t>
      </w:r>
      <w:r w:rsidR="002824E4">
        <w:t xml:space="preserve">Die Trennung der </w:t>
      </w:r>
      <w:r>
        <w:t>Stichwörte</w:t>
      </w:r>
      <w:r w:rsidR="002824E4">
        <w:t>r „P</w:t>
      </w:r>
      <w:r>
        <w:t>olit</w:t>
      </w:r>
      <w:r w:rsidR="002824E4">
        <w:t>ische</w:t>
      </w:r>
      <w:r>
        <w:t xml:space="preserve"> Emig</w:t>
      </w:r>
      <w:r w:rsidR="002824E4">
        <w:t>ration“ und „J</w:t>
      </w:r>
      <w:r>
        <w:t>üd</w:t>
      </w:r>
      <w:r w:rsidR="002824E4">
        <w:t>ische</w:t>
      </w:r>
      <w:r>
        <w:t xml:space="preserve"> Emig</w:t>
      </w:r>
      <w:r w:rsidR="002824E4">
        <w:t xml:space="preserve">ration“, die das </w:t>
      </w:r>
      <w:r w:rsidR="002824E4">
        <w:rPr>
          <w:i/>
        </w:rPr>
        <w:t>Handbuch der deutschsprachigen Emigration</w:t>
      </w:r>
      <w:r w:rsidR="002824E4">
        <w:t xml:space="preserve"> vornimmt, ist aus vieler Hinsicht deshalb problematisch.</w:t>
      </w:r>
    </w:p>
  </w:footnote>
  <w:footnote w:id="18">
    <w:p w:rsidR="0073449B" w:rsidRPr="002824E4" w:rsidRDefault="0073449B" w:rsidP="006608F8">
      <w:pPr>
        <w:pStyle w:val="Funotentext"/>
        <w:jc w:val="both"/>
      </w:pPr>
      <w:r>
        <w:rPr>
          <w:rStyle w:val="Funotenzeichen"/>
        </w:rPr>
        <w:footnoteRef/>
      </w:r>
      <w:r>
        <w:t xml:space="preserve"> </w:t>
      </w:r>
      <w:r w:rsidR="002824E4">
        <w:t xml:space="preserve">Vgl. </w:t>
      </w:r>
      <w:r>
        <w:t>Martin Feuchtwanger</w:t>
      </w:r>
      <w:r w:rsidR="002824E4">
        <w:t xml:space="preserve">: </w:t>
      </w:r>
      <w:r w:rsidR="002824E4">
        <w:rPr>
          <w:i/>
        </w:rPr>
        <w:t xml:space="preserve">Zukunft ist ein blindes Spiel. </w:t>
      </w:r>
      <w:r w:rsidR="002824E4">
        <w:t>Erinnerungen. München 1989.</w:t>
      </w:r>
    </w:p>
  </w:footnote>
  <w:footnote w:id="19">
    <w:p w:rsidR="0073449B" w:rsidRPr="002824E4" w:rsidRDefault="0073449B" w:rsidP="006608F8">
      <w:pPr>
        <w:pStyle w:val="Funotentext"/>
        <w:jc w:val="both"/>
      </w:pPr>
      <w:r>
        <w:rPr>
          <w:rStyle w:val="Funotenzeichen"/>
        </w:rPr>
        <w:footnoteRef/>
      </w:r>
      <w:r>
        <w:t xml:space="preserve"> Vgl. Ludolf Herbst</w:t>
      </w:r>
      <w:r w:rsidR="002824E4">
        <w:t xml:space="preserve">: </w:t>
      </w:r>
      <w:r w:rsidR="002824E4">
        <w:rPr>
          <w:i/>
        </w:rPr>
        <w:t>Das nationalsozialistische Deutschland,</w:t>
      </w:r>
      <w:r w:rsidR="002824E4">
        <w:t xml:space="preserve"> a.a.O., </w:t>
      </w:r>
      <w:r w:rsidR="00C82019">
        <w:t xml:space="preserve">Kap. VI, </w:t>
      </w:r>
      <w:r w:rsidR="002824E4">
        <w:t xml:space="preserve">S. </w:t>
      </w:r>
      <w:r w:rsidR="00C82019">
        <w:t>200 ff.</w:t>
      </w:r>
    </w:p>
  </w:footnote>
  <w:footnote w:id="20">
    <w:p w:rsidR="0073449B" w:rsidRDefault="0073449B" w:rsidP="006608F8">
      <w:pPr>
        <w:pStyle w:val="Funotentext"/>
        <w:jc w:val="both"/>
      </w:pPr>
      <w:r>
        <w:rPr>
          <w:rStyle w:val="Funotenzeichen"/>
        </w:rPr>
        <w:footnoteRef/>
      </w:r>
      <w:r>
        <w:t xml:space="preserve"> </w:t>
      </w:r>
      <w:r w:rsidR="00C82019">
        <w:t>Ebd.</w:t>
      </w:r>
      <w:r>
        <w:t>, S. 49</w:t>
      </w:r>
      <w:r w:rsidR="00C82019">
        <w:t>.</w:t>
      </w:r>
    </w:p>
  </w:footnote>
  <w:footnote w:id="21">
    <w:p w:rsidR="0073449B" w:rsidRPr="00C82019" w:rsidRDefault="0073449B">
      <w:pPr>
        <w:pStyle w:val="Funotentext"/>
      </w:pPr>
      <w:r>
        <w:rPr>
          <w:rStyle w:val="Funotenzeichen"/>
        </w:rPr>
        <w:footnoteRef/>
      </w:r>
      <w:r>
        <w:t xml:space="preserve"> </w:t>
      </w:r>
      <w:r w:rsidR="00C82019">
        <w:t>Gottfried Benn ist ein Beispiel dafür, dass auch ein Autor, der sich mit dem NS-Staat identifizierte, mit Publ</w:t>
      </w:r>
      <w:r w:rsidR="00C82019">
        <w:t>i</w:t>
      </w:r>
      <w:r w:rsidR="00C82019">
        <w:t xml:space="preserve">kationsverbot belegt wurde, weil er Avantgardist war. Vgl. Joachim Dyck: </w:t>
      </w:r>
      <w:r w:rsidR="00C82019">
        <w:rPr>
          <w:i/>
        </w:rPr>
        <w:t>Der Zeitzeuge.</w:t>
      </w:r>
      <w:r w:rsidR="00C82019">
        <w:t xml:space="preserve"> Gottfried Benn 1929-1949.Göttingen 2006, S. 232-245.</w:t>
      </w:r>
    </w:p>
  </w:footnote>
  <w:footnote w:id="22">
    <w:p w:rsidR="0073449B" w:rsidRPr="00F72F51" w:rsidRDefault="0073449B" w:rsidP="006608F8">
      <w:pPr>
        <w:pStyle w:val="Funotentext"/>
        <w:jc w:val="both"/>
      </w:pPr>
      <w:r>
        <w:rPr>
          <w:rStyle w:val="Funotenzeichen"/>
        </w:rPr>
        <w:footnoteRef/>
      </w:r>
      <w:r>
        <w:t xml:space="preserve"> </w:t>
      </w:r>
      <w:r w:rsidR="00841C0E">
        <w:t>Das prägnanteste</w:t>
      </w:r>
      <w:r>
        <w:t xml:space="preserve"> Beispiel </w:t>
      </w:r>
      <w:r w:rsidR="00841C0E">
        <w:t xml:space="preserve">sind die </w:t>
      </w:r>
      <w:r w:rsidR="00F72F51">
        <w:t xml:space="preserve">254 </w:t>
      </w:r>
      <w:r w:rsidR="00841C0E">
        <w:t>Texte</w:t>
      </w:r>
      <w:r>
        <w:t xml:space="preserve"> des Harvard-Preisausschreibens</w:t>
      </w:r>
      <w:r w:rsidR="00F72F51">
        <w:t xml:space="preserve"> 1939/40, von denen nur ein geringer Teil bislang publiziert worden ist. – Vgl. Frithjof Trapp: Autobiografische Rückschau […]. – In: </w:t>
      </w:r>
      <w:r w:rsidR="00F72F51">
        <w:rPr>
          <w:i/>
        </w:rPr>
        <w:t>Exil</w:t>
      </w:r>
      <w:r w:rsidR="00F72F51">
        <w:t xml:space="preserve"> 29 (2009), H. 1, S. 54-74.</w:t>
      </w:r>
    </w:p>
  </w:footnote>
  <w:footnote w:id="23">
    <w:p w:rsidR="0073449B" w:rsidRDefault="0073449B" w:rsidP="006608F8">
      <w:pPr>
        <w:pStyle w:val="Funotentext"/>
        <w:jc w:val="both"/>
      </w:pPr>
      <w:r>
        <w:rPr>
          <w:rStyle w:val="Funotenzeichen"/>
        </w:rPr>
        <w:footnoteRef/>
      </w:r>
      <w:r>
        <w:t xml:space="preserve"> So </w:t>
      </w:r>
      <w:r w:rsidR="00F72F51">
        <w:t xml:space="preserve">z.B. </w:t>
      </w:r>
      <w:r>
        <w:t xml:space="preserve">auf das Schicksal des Hans Rosenthals, der als Fernseh-Entertainer große Popularität erlangt hatte. </w:t>
      </w:r>
    </w:p>
  </w:footnote>
  <w:footnote w:id="24">
    <w:p w:rsidR="0073449B" w:rsidRDefault="0073449B" w:rsidP="006608F8">
      <w:pPr>
        <w:pStyle w:val="Funotentext"/>
        <w:jc w:val="both"/>
      </w:pPr>
      <w:r>
        <w:rPr>
          <w:rStyle w:val="Funotenzeichen"/>
        </w:rPr>
        <w:footnoteRef/>
      </w:r>
      <w:r>
        <w:t xml:space="preserve"> </w:t>
      </w:r>
      <w:r w:rsidR="00F72F51">
        <w:t xml:space="preserve">Vgl. </w:t>
      </w:r>
      <w:r w:rsidR="00F72F51">
        <w:rPr>
          <w:i/>
        </w:rPr>
        <w:t>Die Juden in Deutschland 1933-1945.</w:t>
      </w:r>
      <w:r w:rsidR="00F72F51">
        <w:t xml:space="preserve"> Leben unter nationalsozialistischer Herrschaft. Hrsg. von Wol</w:t>
      </w:r>
      <w:r w:rsidR="00F72F51">
        <w:t>f</w:t>
      </w:r>
      <w:r w:rsidR="00F72F51">
        <w:t xml:space="preserve">gang </w:t>
      </w:r>
      <w:r>
        <w:t>Benz</w:t>
      </w:r>
      <w:r w:rsidR="00F72F51">
        <w:t>. München 1988. – Der Band enthält eine</w:t>
      </w:r>
      <w:r>
        <w:t xml:space="preserve"> ausführliche</w:t>
      </w:r>
      <w:r w:rsidR="00F72F51">
        <w:t xml:space="preserve"> umfangreiche Bibliografie.</w:t>
      </w:r>
    </w:p>
  </w:footnote>
  <w:footnote w:id="25">
    <w:p w:rsidR="0073449B" w:rsidRDefault="0073449B" w:rsidP="006608F8">
      <w:pPr>
        <w:tabs>
          <w:tab w:val="left" w:pos="-720"/>
        </w:tabs>
        <w:spacing w:after="0" w:line="240" w:lineRule="auto"/>
        <w:jc w:val="both"/>
      </w:pPr>
      <w:r>
        <w:rPr>
          <w:rStyle w:val="Funotenzeichen"/>
        </w:rPr>
        <w:footnoteRef/>
      </w:r>
      <w:r>
        <w:t xml:space="preserve"> </w:t>
      </w:r>
      <w:r w:rsidRPr="00F613A0">
        <w:rPr>
          <w:sz w:val="20"/>
          <w:szCs w:val="20"/>
        </w:rPr>
        <w:t xml:space="preserve">Die Migrantenliteratur war </w:t>
      </w:r>
      <w:r w:rsidR="002544F9">
        <w:rPr>
          <w:sz w:val="20"/>
          <w:szCs w:val="20"/>
        </w:rPr>
        <w:t xml:space="preserve">jedoch Thema </w:t>
      </w:r>
      <w:r w:rsidR="002544F9" w:rsidRPr="00F613A0">
        <w:rPr>
          <w:sz w:val="20"/>
          <w:szCs w:val="20"/>
        </w:rPr>
        <w:t>e</w:t>
      </w:r>
      <w:r w:rsidR="000A5DC5">
        <w:rPr>
          <w:sz w:val="20"/>
          <w:szCs w:val="20"/>
        </w:rPr>
        <w:t>ntsprechender</w:t>
      </w:r>
      <w:r w:rsidR="002544F9" w:rsidRPr="00F613A0">
        <w:rPr>
          <w:sz w:val="20"/>
          <w:szCs w:val="20"/>
        </w:rPr>
        <w:t xml:space="preserve"> Sektion</w:t>
      </w:r>
      <w:r w:rsidR="002544F9">
        <w:rPr>
          <w:sz w:val="20"/>
          <w:szCs w:val="20"/>
        </w:rPr>
        <w:t>en</w:t>
      </w:r>
      <w:r w:rsidR="002544F9" w:rsidRPr="00F613A0">
        <w:rPr>
          <w:sz w:val="20"/>
          <w:szCs w:val="20"/>
        </w:rPr>
        <w:t xml:space="preserve"> </w:t>
      </w:r>
      <w:r w:rsidRPr="00F613A0">
        <w:rPr>
          <w:sz w:val="20"/>
          <w:szCs w:val="20"/>
        </w:rPr>
        <w:t xml:space="preserve">auf </w:t>
      </w:r>
      <w:r w:rsidR="002544F9">
        <w:rPr>
          <w:sz w:val="20"/>
          <w:szCs w:val="20"/>
        </w:rPr>
        <w:t>verschiedenen</w:t>
      </w:r>
      <w:r w:rsidRPr="00F613A0">
        <w:rPr>
          <w:sz w:val="20"/>
          <w:szCs w:val="20"/>
        </w:rPr>
        <w:t xml:space="preserve"> IVG-Kongress</w:t>
      </w:r>
      <w:r w:rsidR="002544F9">
        <w:rPr>
          <w:sz w:val="20"/>
          <w:szCs w:val="20"/>
        </w:rPr>
        <w:t>en, so</w:t>
      </w:r>
      <w:r w:rsidRPr="00F613A0">
        <w:rPr>
          <w:sz w:val="20"/>
          <w:szCs w:val="20"/>
        </w:rPr>
        <w:t xml:space="preserve"> in Paris 2005. </w:t>
      </w:r>
      <w:r w:rsidR="00F613A0" w:rsidRPr="00F613A0">
        <w:rPr>
          <w:sz w:val="20"/>
          <w:szCs w:val="20"/>
        </w:rPr>
        <w:t xml:space="preserve">Vgl. </w:t>
      </w:r>
      <w:r w:rsidR="00F613A0" w:rsidRPr="00F613A0">
        <w:rPr>
          <w:i/>
          <w:iCs/>
          <w:spacing w:val="-3"/>
          <w:sz w:val="20"/>
          <w:szCs w:val="20"/>
        </w:rPr>
        <w:t>Akten des XI. Internationalen Germanistenkongresses Paris 2005 „Germanistik im Konflikt der Kulturen“.</w:t>
      </w:r>
      <w:r w:rsidR="00F613A0" w:rsidRPr="00F613A0">
        <w:rPr>
          <w:spacing w:val="-3"/>
          <w:sz w:val="20"/>
          <w:szCs w:val="20"/>
        </w:rPr>
        <w:t xml:space="preserve"> Bd. 5: </w:t>
      </w:r>
      <w:r w:rsidR="00F613A0" w:rsidRPr="00F613A0">
        <w:rPr>
          <w:i/>
          <w:spacing w:val="-3"/>
          <w:sz w:val="20"/>
          <w:szCs w:val="20"/>
        </w:rPr>
        <w:t xml:space="preserve">Migrations-, Emigrations- und </w:t>
      </w:r>
      <w:proofErr w:type="spellStart"/>
      <w:r w:rsidR="00F613A0" w:rsidRPr="00F613A0">
        <w:rPr>
          <w:i/>
          <w:spacing w:val="-3"/>
          <w:sz w:val="20"/>
          <w:szCs w:val="20"/>
        </w:rPr>
        <w:t>Remigrationskulturen</w:t>
      </w:r>
      <w:proofErr w:type="spellEnd"/>
      <w:r w:rsidR="00F613A0" w:rsidRPr="00F613A0">
        <w:rPr>
          <w:spacing w:val="-3"/>
          <w:sz w:val="20"/>
          <w:szCs w:val="20"/>
        </w:rPr>
        <w:t xml:space="preserve">. Betreut von Fawzi </w:t>
      </w:r>
      <w:proofErr w:type="spellStart"/>
      <w:r w:rsidR="00F613A0" w:rsidRPr="00F613A0">
        <w:rPr>
          <w:spacing w:val="-3"/>
          <w:sz w:val="20"/>
          <w:szCs w:val="20"/>
        </w:rPr>
        <w:t>Boubia</w:t>
      </w:r>
      <w:proofErr w:type="spellEnd"/>
      <w:r w:rsidR="00F613A0" w:rsidRPr="00F613A0">
        <w:rPr>
          <w:spacing w:val="-3"/>
          <w:sz w:val="20"/>
          <w:szCs w:val="20"/>
        </w:rPr>
        <w:t xml:space="preserve">, Anne Saint </w:t>
      </w:r>
      <w:proofErr w:type="spellStart"/>
      <w:r w:rsidR="00F613A0" w:rsidRPr="00F613A0">
        <w:rPr>
          <w:spacing w:val="-3"/>
          <w:sz w:val="20"/>
          <w:szCs w:val="20"/>
        </w:rPr>
        <w:t>S</w:t>
      </w:r>
      <w:r w:rsidR="00F613A0" w:rsidRPr="00F613A0">
        <w:rPr>
          <w:spacing w:val="-3"/>
          <w:sz w:val="20"/>
          <w:szCs w:val="20"/>
        </w:rPr>
        <w:t>a</w:t>
      </w:r>
      <w:r w:rsidR="00F613A0" w:rsidRPr="00F613A0">
        <w:rPr>
          <w:spacing w:val="-3"/>
          <w:sz w:val="20"/>
          <w:szCs w:val="20"/>
        </w:rPr>
        <w:t>veur</w:t>
      </w:r>
      <w:proofErr w:type="spellEnd"/>
      <w:r w:rsidR="00F613A0" w:rsidRPr="00F613A0">
        <w:rPr>
          <w:spacing w:val="-3"/>
          <w:sz w:val="20"/>
          <w:szCs w:val="20"/>
        </w:rPr>
        <w:t>-Henn u. Frithjof Trapp. Bern (u.a.) 2007.</w:t>
      </w:r>
    </w:p>
  </w:footnote>
  <w:footnote w:id="26">
    <w:p w:rsidR="00EA5496" w:rsidRDefault="00EA5496" w:rsidP="006608F8">
      <w:pPr>
        <w:pStyle w:val="Funotentext"/>
        <w:jc w:val="both"/>
      </w:pPr>
      <w:r>
        <w:rPr>
          <w:rStyle w:val="Funotenzeichen"/>
        </w:rPr>
        <w:footnoteRef/>
      </w:r>
      <w:r>
        <w:t xml:space="preserve"> Mit Blick auf die Gesamtheit des Exils kann man davon ausgehen, dass ca. 95 Prozent der Flüchtlinge – una</w:t>
      </w:r>
      <w:r>
        <w:t>b</w:t>
      </w:r>
      <w:r>
        <w:t>hängig von sonstigen Verfolgungsgründen – auch aus rassistischen Gründen verfolgt</w:t>
      </w:r>
      <w:r w:rsidRPr="00EA5496">
        <w:t xml:space="preserve"> </w:t>
      </w:r>
      <w:r>
        <w:t>wurden: aufgrund ihres jüdischen Familienhintergrunds oder jüdischer Lebensgefährten. Im engeren Bereich des „politischen Exils“ ist davon auszugehen, dass ca. zwei Drittel der Verfolgten einen jüdischen Familienhintergrund besaßen bzw. L</w:t>
      </w:r>
      <w:r>
        <w:t>e</w:t>
      </w:r>
      <w:r>
        <w:t xml:space="preserve">bensgefährten mit diesem Hintergrund. </w:t>
      </w:r>
    </w:p>
  </w:footnote>
  <w:footnote w:id="27">
    <w:p w:rsidR="00C02E4F" w:rsidRPr="00C02E4F" w:rsidRDefault="0073449B" w:rsidP="006608F8">
      <w:pPr>
        <w:pStyle w:val="Endnotentext"/>
        <w:spacing w:after="0" w:line="240" w:lineRule="auto"/>
        <w:jc w:val="both"/>
      </w:pPr>
      <w:r>
        <w:rPr>
          <w:rStyle w:val="Funotenzeichen"/>
        </w:rPr>
        <w:footnoteRef/>
      </w:r>
      <w:r w:rsidRPr="0093082A">
        <w:t xml:space="preserve"> </w:t>
      </w:r>
      <w:r w:rsidR="00C02E4F" w:rsidRPr="00C02E4F">
        <w:t xml:space="preserve">Vgl. Frithjof Trapp: Exiltheater in Südamerika. – In: </w:t>
      </w:r>
      <w:r w:rsidR="00C02E4F" w:rsidRPr="00C02E4F">
        <w:rPr>
          <w:i/>
        </w:rPr>
        <w:t>Handbuch des deutschsprachigen Exiltheaters 1933–1945.</w:t>
      </w:r>
      <w:r w:rsidR="00C02E4F" w:rsidRPr="00C02E4F">
        <w:t xml:space="preserve"> Hrsg. von Frithjof Trapp, Werner Mittenzwei, Henning </w:t>
      </w:r>
      <w:proofErr w:type="spellStart"/>
      <w:r w:rsidR="00C02E4F" w:rsidRPr="00C02E4F">
        <w:t>Rischbieter</w:t>
      </w:r>
      <w:proofErr w:type="spellEnd"/>
      <w:r w:rsidR="00C02E4F" w:rsidRPr="00C02E4F">
        <w:t xml:space="preserve"> u. Hansjörg Schneider. Bd. 1: </w:t>
      </w:r>
      <w:r w:rsidR="00C02E4F" w:rsidRPr="00C02E4F">
        <w:rPr>
          <w:i/>
        </w:rPr>
        <w:t>Verfo</w:t>
      </w:r>
      <w:r w:rsidR="00C02E4F" w:rsidRPr="00C02E4F">
        <w:rPr>
          <w:i/>
        </w:rPr>
        <w:t>l</w:t>
      </w:r>
      <w:r w:rsidR="00C02E4F" w:rsidRPr="00C02E4F">
        <w:rPr>
          <w:i/>
        </w:rPr>
        <w:t>gung und Exil deutschsprachiger Theaterkünstler.</w:t>
      </w:r>
      <w:r w:rsidR="00C02E4F" w:rsidRPr="00C02E4F">
        <w:t xml:space="preserve"> München 1999, S. 445 ff..</w:t>
      </w:r>
    </w:p>
    <w:p w:rsidR="0073449B" w:rsidRPr="00C02E4F" w:rsidRDefault="00C02E4F" w:rsidP="00173214">
      <w:pPr>
        <w:pStyle w:val="Endnotentext"/>
        <w:spacing w:after="0" w:line="240" w:lineRule="auto"/>
        <w:jc w:val="both"/>
      </w:pPr>
      <w:r w:rsidRPr="00453ACE">
        <w:rPr>
          <w:rStyle w:val="Endnotenzeichen"/>
          <w:sz w:val="24"/>
          <w:szCs w:val="24"/>
        </w:rPr>
        <w:footnoteRef/>
      </w:r>
      <w:r>
        <w:rPr>
          <w:sz w:val="24"/>
          <w:szCs w:val="24"/>
        </w:rPr>
        <w:t xml:space="preserve"> </w:t>
      </w:r>
      <w:r w:rsidRPr="00C02E4F">
        <w:t xml:space="preserve">Vgl. </w:t>
      </w:r>
      <w:proofErr w:type="spellStart"/>
      <w:r w:rsidRPr="00C02E4F">
        <w:t>Avraham</w:t>
      </w:r>
      <w:proofErr w:type="spellEnd"/>
      <w:r w:rsidRPr="00C02E4F">
        <w:t xml:space="preserve"> </w:t>
      </w:r>
      <w:proofErr w:type="spellStart"/>
      <w:r w:rsidRPr="00C02E4F">
        <w:t>Barkai</w:t>
      </w:r>
      <w:proofErr w:type="spellEnd"/>
      <w:r w:rsidRPr="00C02E4F">
        <w:t>: „</w:t>
      </w:r>
      <w:r w:rsidRPr="00C02E4F">
        <w:rPr>
          <w:i/>
          <w:iCs/>
        </w:rPr>
        <w:t xml:space="preserve">Wehr Dich!“ </w:t>
      </w:r>
      <w:r w:rsidRPr="00C02E4F">
        <w:t xml:space="preserve">Der </w:t>
      </w:r>
      <w:proofErr w:type="spellStart"/>
      <w:r w:rsidRPr="00C02E4F">
        <w:t>Centralverein</w:t>
      </w:r>
      <w:proofErr w:type="spellEnd"/>
      <w:r w:rsidRPr="00C02E4F">
        <w:t xml:space="preserve"> deutscher Staatsbürger jüdischen Glaubens 1893–1938. München 2002. Kap. 7 u. 8.</w:t>
      </w:r>
    </w:p>
  </w:footnote>
  <w:footnote w:id="28">
    <w:p w:rsidR="0073449B" w:rsidRPr="0093082A" w:rsidRDefault="0073449B" w:rsidP="00173214">
      <w:pPr>
        <w:pStyle w:val="Funotentext"/>
        <w:jc w:val="both"/>
      </w:pPr>
      <w:r>
        <w:rPr>
          <w:rStyle w:val="Funotenzeichen"/>
        </w:rPr>
        <w:footnoteRef/>
      </w:r>
      <w:r w:rsidRPr="0093082A">
        <w:t xml:space="preserve"> </w:t>
      </w:r>
      <w:r w:rsidR="00C02E4F" w:rsidRPr="00C02E4F">
        <w:t xml:space="preserve">Vgl. </w:t>
      </w:r>
      <w:proofErr w:type="spellStart"/>
      <w:r w:rsidR="00C02E4F" w:rsidRPr="00C02E4F">
        <w:t>Avraham</w:t>
      </w:r>
      <w:proofErr w:type="spellEnd"/>
      <w:r w:rsidR="00C02E4F" w:rsidRPr="00C02E4F">
        <w:t xml:space="preserve"> </w:t>
      </w:r>
      <w:proofErr w:type="spellStart"/>
      <w:r w:rsidR="00C02E4F" w:rsidRPr="00C02E4F">
        <w:t>Barkai</w:t>
      </w:r>
      <w:proofErr w:type="spellEnd"/>
      <w:r w:rsidR="00C02E4F" w:rsidRPr="00C02E4F">
        <w:t>: „</w:t>
      </w:r>
      <w:r w:rsidR="00C02E4F" w:rsidRPr="00C02E4F">
        <w:rPr>
          <w:i/>
          <w:iCs/>
        </w:rPr>
        <w:t>Wehr Dich!“</w:t>
      </w:r>
      <w:r w:rsidR="00EA5496">
        <w:rPr>
          <w:iCs/>
        </w:rPr>
        <w:t>, a.a.O.,</w:t>
      </w:r>
      <w:r w:rsidR="00C02E4F" w:rsidRPr="00C02E4F">
        <w:t xml:space="preserve"> Kap. 7 u. 8.</w:t>
      </w:r>
    </w:p>
  </w:footnote>
  <w:footnote w:id="29">
    <w:p w:rsidR="0073449B" w:rsidRDefault="0073449B" w:rsidP="00173214">
      <w:pPr>
        <w:pStyle w:val="Endnotentext"/>
        <w:spacing w:after="0" w:line="240" w:lineRule="auto"/>
        <w:jc w:val="both"/>
      </w:pPr>
      <w:r>
        <w:rPr>
          <w:rStyle w:val="Funotenzeichen"/>
        </w:rPr>
        <w:footnoteRef/>
      </w:r>
      <w:r>
        <w:t xml:space="preserve"> </w:t>
      </w:r>
      <w:r w:rsidR="00C02E4F" w:rsidRPr="00C02E4F">
        <w:t xml:space="preserve">Wolfgang Benz: Die jüdische Emigration. – In: </w:t>
      </w:r>
      <w:r w:rsidR="00C02E4F" w:rsidRPr="00C02E4F">
        <w:rPr>
          <w:i/>
        </w:rPr>
        <w:t xml:space="preserve">Handbuch der deutschsprachigen Emigration, </w:t>
      </w:r>
      <w:r w:rsidR="00C02E4F" w:rsidRPr="00C02E4F">
        <w:t xml:space="preserve">a.a.O., </w:t>
      </w:r>
      <w:proofErr w:type="spellStart"/>
      <w:r w:rsidR="00C02E4F" w:rsidRPr="00C02E4F">
        <w:t>Sp</w:t>
      </w:r>
      <w:proofErr w:type="spellEnd"/>
      <w:r w:rsidR="00C02E4F" w:rsidRPr="00C02E4F">
        <w:t>. 1</w:t>
      </w:r>
      <w:r w:rsidR="007F7D43">
        <w:t xml:space="preserve"> – </w:t>
      </w:r>
      <w:r w:rsidR="00C02E4F" w:rsidRPr="00C02E4F">
        <w:t>16.</w:t>
      </w:r>
    </w:p>
  </w:footnote>
  <w:footnote w:id="30">
    <w:p w:rsidR="007F7D43" w:rsidRPr="007F7D43" w:rsidRDefault="007F7D43" w:rsidP="00173214">
      <w:pPr>
        <w:pStyle w:val="Funotentext"/>
        <w:jc w:val="both"/>
      </w:pPr>
      <w:r>
        <w:rPr>
          <w:rStyle w:val="Funotenzeichen"/>
        </w:rPr>
        <w:footnoteRef/>
      </w:r>
      <w:r>
        <w:t xml:space="preserve"> Zum Begriff der „</w:t>
      </w:r>
      <w:proofErr w:type="spellStart"/>
      <w:r>
        <w:t>diasporistischen</w:t>
      </w:r>
      <w:proofErr w:type="spellEnd"/>
      <w:r>
        <w:t xml:space="preserve"> Existenz“ vgl. Eckhart Gillen: R. B. </w:t>
      </w:r>
      <w:proofErr w:type="spellStart"/>
      <w:r>
        <w:t>Kitaj</w:t>
      </w:r>
      <w:proofErr w:type="spellEnd"/>
      <w:r>
        <w:t xml:space="preserve"> – verborgener Jude und beke</w:t>
      </w:r>
      <w:r>
        <w:t>n</w:t>
      </w:r>
      <w:r>
        <w:t xml:space="preserve">nender </w:t>
      </w:r>
      <w:proofErr w:type="spellStart"/>
      <w:r>
        <w:t>Diasporist</w:t>
      </w:r>
      <w:proofErr w:type="spellEnd"/>
      <w:r>
        <w:t xml:space="preserve">. – In: Hubertus Gaßner, Eckhart Gillen u. Cilly Kugelmann: </w:t>
      </w:r>
      <w:r>
        <w:rPr>
          <w:i/>
        </w:rPr>
        <w:t xml:space="preserve">R. B. </w:t>
      </w:r>
      <w:proofErr w:type="spellStart"/>
      <w:r>
        <w:rPr>
          <w:i/>
        </w:rPr>
        <w:t>Kitaj</w:t>
      </w:r>
      <w:proofErr w:type="spellEnd"/>
      <w:r>
        <w:rPr>
          <w:i/>
        </w:rPr>
        <w:t xml:space="preserve"> (1932 – 2007).</w:t>
      </w:r>
      <w:r>
        <w:t xml:space="preserve">Die Retrospektive. Bielefeld/Berlin 2012, S. </w:t>
      </w:r>
      <w:r w:rsidR="00526549">
        <w:t xml:space="preserve">83 – 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9B" w:rsidRDefault="00AE5947">
    <w:pPr>
      <w:pStyle w:val="Kopfzeile"/>
      <w:jc w:val="right"/>
    </w:pPr>
    <w:r>
      <w:fldChar w:fldCharType="begin"/>
    </w:r>
    <w:r>
      <w:instrText xml:space="preserve"> PAGE   \* MERGEFORMAT </w:instrText>
    </w:r>
    <w:r>
      <w:fldChar w:fldCharType="separate"/>
    </w:r>
    <w:r w:rsidR="008308FC">
      <w:rPr>
        <w:noProof/>
      </w:rPr>
      <w:t>10</w:t>
    </w:r>
    <w:r>
      <w:rPr>
        <w:noProof/>
      </w:rPr>
      <w:fldChar w:fldCharType="end"/>
    </w:r>
  </w:p>
  <w:p w:rsidR="0073449B" w:rsidRDefault="007344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4ACA"/>
    <w:rsid w:val="00004121"/>
    <w:rsid w:val="0001683D"/>
    <w:rsid w:val="00025F02"/>
    <w:rsid w:val="00033A48"/>
    <w:rsid w:val="0004781C"/>
    <w:rsid w:val="000641E8"/>
    <w:rsid w:val="00066069"/>
    <w:rsid w:val="00081DD8"/>
    <w:rsid w:val="00093E58"/>
    <w:rsid w:val="000943B5"/>
    <w:rsid w:val="000969C5"/>
    <w:rsid w:val="000A4458"/>
    <w:rsid w:val="000A5DC5"/>
    <w:rsid w:val="000B43E9"/>
    <w:rsid w:val="000C0C60"/>
    <w:rsid w:val="000C4464"/>
    <w:rsid w:val="000D4F50"/>
    <w:rsid w:val="000D6DBA"/>
    <w:rsid w:val="000E1ED6"/>
    <w:rsid w:val="000E6098"/>
    <w:rsid w:val="000F3B37"/>
    <w:rsid w:val="000F5147"/>
    <w:rsid w:val="000F7A9D"/>
    <w:rsid w:val="001036BE"/>
    <w:rsid w:val="00104A8F"/>
    <w:rsid w:val="00105E70"/>
    <w:rsid w:val="00106946"/>
    <w:rsid w:val="00111328"/>
    <w:rsid w:val="00113770"/>
    <w:rsid w:val="001166F0"/>
    <w:rsid w:val="001235EF"/>
    <w:rsid w:val="00133730"/>
    <w:rsid w:val="00140E27"/>
    <w:rsid w:val="00141932"/>
    <w:rsid w:val="00154A7F"/>
    <w:rsid w:val="001606C8"/>
    <w:rsid w:val="001621FC"/>
    <w:rsid w:val="001649DD"/>
    <w:rsid w:val="00173214"/>
    <w:rsid w:val="0017335F"/>
    <w:rsid w:val="00173848"/>
    <w:rsid w:val="001806FD"/>
    <w:rsid w:val="00180AF5"/>
    <w:rsid w:val="0018578E"/>
    <w:rsid w:val="00193515"/>
    <w:rsid w:val="001A01DD"/>
    <w:rsid w:val="001A2DD1"/>
    <w:rsid w:val="001A4A63"/>
    <w:rsid w:val="001B33A2"/>
    <w:rsid w:val="001C4AD7"/>
    <w:rsid w:val="001D1B10"/>
    <w:rsid w:val="001D5E44"/>
    <w:rsid w:val="001D7F14"/>
    <w:rsid w:val="001F1915"/>
    <w:rsid w:val="001F2B36"/>
    <w:rsid w:val="001F4ACA"/>
    <w:rsid w:val="0020584C"/>
    <w:rsid w:val="00207B11"/>
    <w:rsid w:val="0022198B"/>
    <w:rsid w:val="00230413"/>
    <w:rsid w:val="00233050"/>
    <w:rsid w:val="00233159"/>
    <w:rsid w:val="00234D3D"/>
    <w:rsid w:val="002379D8"/>
    <w:rsid w:val="00240458"/>
    <w:rsid w:val="002406F5"/>
    <w:rsid w:val="002522E6"/>
    <w:rsid w:val="002544F9"/>
    <w:rsid w:val="00254858"/>
    <w:rsid w:val="002559EC"/>
    <w:rsid w:val="00256580"/>
    <w:rsid w:val="00266D02"/>
    <w:rsid w:val="00267245"/>
    <w:rsid w:val="00267810"/>
    <w:rsid w:val="0027225A"/>
    <w:rsid w:val="00273723"/>
    <w:rsid w:val="00273A91"/>
    <w:rsid w:val="002824E4"/>
    <w:rsid w:val="0029008B"/>
    <w:rsid w:val="00291077"/>
    <w:rsid w:val="00293822"/>
    <w:rsid w:val="002A768D"/>
    <w:rsid w:val="002A7E98"/>
    <w:rsid w:val="002B2CAC"/>
    <w:rsid w:val="002C0A2F"/>
    <w:rsid w:val="002C302C"/>
    <w:rsid w:val="002C3BF8"/>
    <w:rsid w:val="002C4DE3"/>
    <w:rsid w:val="002D2CD0"/>
    <w:rsid w:val="002D2CF5"/>
    <w:rsid w:val="002E28AB"/>
    <w:rsid w:val="002F14BB"/>
    <w:rsid w:val="00301F93"/>
    <w:rsid w:val="00315E15"/>
    <w:rsid w:val="00322CF8"/>
    <w:rsid w:val="00324F2A"/>
    <w:rsid w:val="0036173D"/>
    <w:rsid w:val="0036655F"/>
    <w:rsid w:val="0037336A"/>
    <w:rsid w:val="003733D6"/>
    <w:rsid w:val="00377270"/>
    <w:rsid w:val="00382838"/>
    <w:rsid w:val="0039073E"/>
    <w:rsid w:val="00395714"/>
    <w:rsid w:val="003A02C7"/>
    <w:rsid w:val="003A32AD"/>
    <w:rsid w:val="003A344A"/>
    <w:rsid w:val="003A3D16"/>
    <w:rsid w:val="003B18E2"/>
    <w:rsid w:val="003B1F4D"/>
    <w:rsid w:val="003B4760"/>
    <w:rsid w:val="003B505D"/>
    <w:rsid w:val="003C176D"/>
    <w:rsid w:val="003C2F8B"/>
    <w:rsid w:val="003C4625"/>
    <w:rsid w:val="003E6C57"/>
    <w:rsid w:val="003F03B4"/>
    <w:rsid w:val="003F10D8"/>
    <w:rsid w:val="003F2F64"/>
    <w:rsid w:val="003F5344"/>
    <w:rsid w:val="00402C2E"/>
    <w:rsid w:val="0040329E"/>
    <w:rsid w:val="00404268"/>
    <w:rsid w:val="00404E12"/>
    <w:rsid w:val="00406A62"/>
    <w:rsid w:val="00412009"/>
    <w:rsid w:val="00413685"/>
    <w:rsid w:val="00416201"/>
    <w:rsid w:val="00416A5C"/>
    <w:rsid w:val="00417F65"/>
    <w:rsid w:val="00422166"/>
    <w:rsid w:val="00423C87"/>
    <w:rsid w:val="0043033B"/>
    <w:rsid w:val="00442C2C"/>
    <w:rsid w:val="00443EE9"/>
    <w:rsid w:val="004474A7"/>
    <w:rsid w:val="00454DB0"/>
    <w:rsid w:val="00455653"/>
    <w:rsid w:val="00456348"/>
    <w:rsid w:val="00460DFC"/>
    <w:rsid w:val="0046332E"/>
    <w:rsid w:val="00466E40"/>
    <w:rsid w:val="004777B1"/>
    <w:rsid w:val="00482EF4"/>
    <w:rsid w:val="00492D7C"/>
    <w:rsid w:val="004A4F80"/>
    <w:rsid w:val="004A511F"/>
    <w:rsid w:val="004A7862"/>
    <w:rsid w:val="004B1A26"/>
    <w:rsid w:val="004C3B1E"/>
    <w:rsid w:val="004D7D5E"/>
    <w:rsid w:val="004E14B8"/>
    <w:rsid w:val="004F14A2"/>
    <w:rsid w:val="004F4100"/>
    <w:rsid w:val="00503C5F"/>
    <w:rsid w:val="00506579"/>
    <w:rsid w:val="005072B9"/>
    <w:rsid w:val="00514CDA"/>
    <w:rsid w:val="005152EB"/>
    <w:rsid w:val="00521A5F"/>
    <w:rsid w:val="00526549"/>
    <w:rsid w:val="005322DE"/>
    <w:rsid w:val="00535C60"/>
    <w:rsid w:val="00545961"/>
    <w:rsid w:val="00554F6A"/>
    <w:rsid w:val="00561574"/>
    <w:rsid w:val="005733B4"/>
    <w:rsid w:val="00573B0C"/>
    <w:rsid w:val="0057438E"/>
    <w:rsid w:val="00576F65"/>
    <w:rsid w:val="005774E5"/>
    <w:rsid w:val="005776AE"/>
    <w:rsid w:val="00580145"/>
    <w:rsid w:val="005931E4"/>
    <w:rsid w:val="00596F41"/>
    <w:rsid w:val="00597A10"/>
    <w:rsid w:val="005A0A12"/>
    <w:rsid w:val="005B3855"/>
    <w:rsid w:val="005B7150"/>
    <w:rsid w:val="005C50D4"/>
    <w:rsid w:val="005D05EC"/>
    <w:rsid w:val="005D1EF3"/>
    <w:rsid w:val="005D7F4C"/>
    <w:rsid w:val="005E625F"/>
    <w:rsid w:val="005E71A0"/>
    <w:rsid w:val="005F28D2"/>
    <w:rsid w:val="005F336B"/>
    <w:rsid w:val="005F5E8E"/>
    <w:rsid w:val="005F6E54"/>
    <w:rsid w:val="005F6FF2"/>
    <w:rsid w:val="006049DF"/>
    <w:rsid w:val="00604EAB"/>
    <w:rsid w:val="00612DE1"/>
    <w:rsid w:val="00630313"/>
    <w:rsid w:val="00642DBF"/>
    <w:rsid w:val="006471DB"/>
    <w:rsid w:val="00653E4C"/>
    <w:rsid w:val="006564E7"/>
    <w:rsid w:val="006571B5"/>
    <w:rsid w:val="006608F8"/>
    <w:rsid w:val="00666F0A"/>
    <w:rsid w:val="00674174"/>
    <w:rsid w:val="00676160"/>
    <w:rsid w:val="00676B1E"/>
    <w:rsid w:val="0068050B"/>
    <w:rsid w:val="00682D6F"/>
    <w:rsid w:val="00684CBE"/>
    <w:rsid w:val="00685974"/>
    <w:rsid w:val="006971FE"/>
    <w:rsid w:val="00697D94"/>
    <w:rsid w:val="006A1F8C"/>
    <w:rsid w:val="006A5857"/>
    <w:rsid w:val="006B190B"/>
    <w:rsid w:val="006B5EA4"/>
    <w:rsid w:val="006B7C3A"/>
    <w:rsid w:val="006D1C88"/>
    <w:rsid w:val="006D67DC"/>
    <w:rsid w:val="006E2817"/>
    <w:rsid w:val="006E3BDD"/>
    <w:rsid w:val="006F126E"/>
    <w:rsid w:val="006F56BC"/>
    <w:rsid w:val="00700328"/>
    <w:rsid w:val="00703FC9"/>
    <w:rsid w:val="00704792"/>
    <w:rsid w:val="00713331"/>
    <w:rsid w:val="00716516"/>
    <w:rsid w:val="0072151C"/>
    <w:rsid w:val="00727F52"/>
    <w:rsid w:val="007330C7"/>
    <w:rsid w:val="0073449B"/>
    <w:rsid w:val="0073471D"/>
    <w:rsid w:val="00734A5E"/>
    <w:rsid w:val="00736F36"/>
    <w:rsid w:val="00740D90"/>
    <w:rsid w:val="00754434"/>
    <w:rsid w:val="007554D4"/>
    <w:rsid w:val="00757E16"/>
    <w:rsid w:val="00762B9B"/>
    <w:rsid w:val="00763A8F"/>
    <w:rsid w:val="00767858"/>
    <w:rsid w:val="00776D44"/>
    <w:rsid w:val="00777881"/>
    <w:rsid w:val="00790C9B"/>
    <w:rsid w:val="00791116"/>
    <w:rsid w:val="007A1A8E"/>
    <w:rsid w:val="007B3A53"/>
    <w:rsid w:val="007C15D9"/>
    <w:rsid w:val="007C28C1"/>
    <w:rsid w:val="007D2532"/>
    <w:rsid w:val="007D5D77"/>
    <w:rsid w:val="007F7D43"/>
    <w:rsid w:val="008012CA"/>
    <w:rsid w:val="00803C28"/>
    <w:rsid w:val="00805B12"/>
    <w:rsid w:val="00815678"/>
    <w:rsid w:val="0081791E"/>
    <w:rsid w:val="00822505"/>
    <w:rsid w:val="00824F2B"/>
    <w:rsid w:val="00830715"/>
    <w:rsid w:val="008308FC"/>
    <w:rsid w:val="00841C0E"/>
    <w:rsid w:val="00845DDD"/>
    <w:rsid w:val="00847A0F"/>
    <w:rsid w:val="008514CD"/>
    <w:rsid w:val="00862CB4"/>
    <w:rsid w:val="00866547"/>
    <w:rsid w:val="0086733B"/>
    <w:rsid w:val="00874DFE"/>
    <w:rsid w:val="0088116D"/>
    <w:rsid w:val="0088466C"/>
    <w:rsid w:val="00886935"/>
    <w:rsid w:val="008913CF"/>
    <w:rsid w:val="008938B1"/>
    <w:rsid w:val="008959BA"/>
    <w:rsid w:val="008A1E90"/>
    <w:rsid w:val="008B7263"/>
    <w:rsid w:val="008C0780"/>
    <w:rsid w:val="008D02AC"/>
    <w:rsid w:val="008D16E6"/>
    <w:rsid w:val="008D5B71"/>
    <w:rsid w:val="008E458F"/>
    <w:rsid w:val="008E7E71"/>
    <w:rsid w:val="008F5FA8"/>
    <w:rsid w:val="008F75E1"/>
    <w:rsid w:val="009030F9"/>
    <w:rsid w:val="009031CC"/>
    <w:rsid w:val="00913E79"/>
    <w:rsid w:val="0091454A"/>
    <w:rsid w:val="009175B0"/>
    <w:rsid w:val="00917DD4"/>
    <w:rsid w:val="0093082A"/>
    <w:rsid w:val="00940F7A"/>
    <w:rsid w:val="00951053"/>
    <w:rsid w:val="0095457B"/>
    <w:rsid w:val="00956C39"/>
    <w:rsid w:val="00956CFC"/>
    <w:rsid w:val="009607EE"/>
    <w:rsid w:val="00960F4B"/>
    <w:rsid w:val="00963081"/>
    <w:rsid w:val="00967740"/>
    <w:rsid w:val="00972BCD"/>
    <w:rsid w:val="00974D01"/>
    <w:rsid w:val="00977638"/>
    <w:rsid w:val="0098432F"/>
    <w:rsid w:val="00986143"/>
    <w:rsid w:val="009869B0"/>
    <w:rsid w:val="0099099B"/>
    <w:rsid w:val="009A304C"/>
    <w:rsid w:val="009A39F9"/>
    <w:rsid w:val="009B1464"/>
    <w:rsid w:val="009B6BC0"/>
    <w:rsid w:val="009D0FCF"/>
    <w:rsid w:val="009D2262"/>
    <w:rsid w:val="009E30AF"/>
    <w:rsid w:val="009E5658"/>
    <w:rsid w:val="009F15A1"/>
    <w:rsid w:val="009F290C"/>
    <w:rsid w:val="009F2C26"/>
    <w:rsid w:val="009F65EF"/>
    <w:rsid w:val="00A0288B"/>
    <w:rsid w:val="00A1150A"/>
    <w:rsid w:val="00A12E40"/>
    <w:rsid w:val="00A155AA"/>
    <w:rsid w:val="00A15621"/>
    <w:rsid w:val="00A17A17"/>
    <w:rsid w:val="00A22020"/>
    <w:rsid w:val="00A25FA6"/>
    <w:rsid w:val="00A31CBA"/>
    <w:rsid w:val="00A32853"/>
    <w:rsid w:val="00A40F67"/>
    <w:rsid w:val="00A42672"/>
    <w:rsid w:val="00A42AC5"/>
    <w:rsid w:val="00A42CDF"/>
    <w:rsid w:val="00A45659"/>
    <w:rsid w:val="00A46D7E"/>
    <w:rsid w:val="00A561C6"/>
    <w:rsid w:val="00A632DD"/>
    <w:rsid w:val="00A65761"/>
    <w:rsid w:val="00A736A7"/>
    <w:rsid w:val="00A77AC4"/>
    <w:rsid w:val="00A77B6E"/>
    <w:rsid w:val="00A91B14"/>
    <w:rsid w:val="00A91DD8"/>
    <w:rsid w:val="00A97FEB"/>
    <w:rsid w:val="00AB2AD0"/>
    <w:rsid w:val="00AC4D29"/>
    <w:rsid w:val="00AD387D"/>
    <w:rsid w:val="00AD3FE2"/>
    <w:rsid w:val="00AE2A72"/>
    <w:rsid w:val="00AE4074"/>
    <w:rsid w:val="00AE5947"/>
    <w:rsid w:val="00AF200E"/>
    <w:rsid w:val="00AF2CEE"/>
    <w:rsid w:val="00B01777"/>
    <w:rsid w:val="00B03E66"/>
    <w:rsid w:val="00B03E7F"/>
    <w:rsid w:val="00B207D1"/>
    <w:rsid w:val="00B22C5A"/>
    <w:rsid w:val="00B25C0C"/>
    <w:rsid w:val="00B267EB"/>
    <w:rsid w:val="00B311FB"/>
    <w:rsid w:val="00B324B8"/>
    <w:rsid w:val="00B346B9"/>
    <w:rsid w:val="00B37521"/>
    <w:rsid w:val="00B457B9"/>
    <w:rsid w:val="00B52FB7"/>
    <w:rsid w:val="00B539A1"/>
    <w:rsid w:val="00B60A3E"/>
    <w:rsid w:val="00B61775"/>
    <w:rsid w:val="00B62A41"/>
    <w:rsid w:val="00B65C3A"/>
    <w:rsid w:val="00B679CA"/>
    <w:rsid w:val="00B723EE"/>
    <w:rsid w:val="00B76AB1"/>
    <w:rsid w:val="00B837AB"/>
    <w:rsid w:val="00B84348"/>
    <w:rsid w:val="00B91BE9"/>
    <w:rsid w:val="00B95223"/>
    <w:rsid w:val="00B97B0F"/>
    <w:rsid w:val="00BA4684"/>
    <w:rsid w:val="00BA6904"/>
    <w:rsid w:val="00BB1E6D"/>
    <w:rsid w:val="00BB274C"/>
    <w:rsid w:val="00BB4E47"/>
    <w:rsid w:val="00BB7557"/>
    <w:rsid w:val="00BB7DB0"/>
    <w:rsid w:val="00BC0052"/>
    <w:rsid w:val="00BC13BB"/>
    <w:rsid w:val="00BC2C3E"/>
    <w:rsid w:val="00BC3A41"/>
    <w:rsid w:val="00BC59DC"/>
    <w:rsid w:val="00BC7E7B"/>
    <w:rsid w:val="00BD1272"/>
    <w:rsid w:val="00BD2297"/>
    <w:rsid w:val="00BD3997"/>
    <w:rsid w:val="00BD66E6"/>
    <w:rsid w:val="00BE23E1"/>
    <w:rsid w:val="00BE2BC7"/>
    <w:rsid w:val="00BE32ED"/>
    <w:rsid w:val="00BE5FF9"/>
    <w:rsid w:val="00C02E4F"/>
    <w:rsid w:val="00C03EEF"/>
    <w:rsid w:val="00C14FCE"/>
    <w:rsid w:val="00C33186"/>
    <w:rsid w:val="00C4723B"/>
    <w:rsid w:val="00C54F27"/>
    <w:rsid w:val="00C56E44"/>
    <w:rsid w:val="00C70390"/>
    <w:rsid w:val="00C72DAC"/>
    <w:rsid w:val="00C74D2C"/>
    <w:rsid w:val="00C75EB1"/>
    <w:rsid w:val="00C81D73"/>
    <w:rsid w:val="00C82019"/>
    <w:rsid w:val="00C8662E"/>
    <w:rsid w:val="00C86C5D"/>
    <w:rsid w:val="00C9029A"/>
    <w:rsid w:val="00C90D63"/>
    <w:rsid w:val="00CA2435"/>
    <w:rsid w:val="00CA54C7"/>
    <w:rsid w:val="00CB12C7"/>
    <w:rsid w:val="00CC0EAA"/>
    <w:rsid w:val="00CC151A"/>
    <w:rsid w:val="00CD3727"/>
    <w:rsid w:val="00CD7281"/>
    <w:rsid w:val="00CE143B"/>
    <w:rsid w:val="00CE2445"/>
    <w:rsid w:val="00CE39FD"/>
    <w:rsid w:val="00CE575C"/>
    <w:rsid w:val="00CE58CB"/>
    <w:rsid w:val="00CE7AEA"/>
    <w:rsid w:val="00CF2A60"/>
    <w:rsid w:val="00CF5553"/>
    <w:rsid w:val="00D06816"/>
    <w:rsid w:val="00D07555"/>
    <w:rsid w:val="00D13580"/>
    <w:rsid w:val="00D13DDD"/>
    <w:rsid w:val="00D14B28"/>
    <w:rsid w:val="00D167FA"/>
    <w:rsid w:val="00D229D8"/>
    <w:rsid w:val="00D31421"/>
    <w:rsid w:val="00D3147E"/>
    <w:rsid w:val="00D31FDB"/>
    <w:rsid w:val="00D323A3"/>
    <w:rsid w:val="00D3242E"/>
    <w:rsid w:val="00D32917"/>
    <w:rsid w:val="00D32C6D"/>
    <w:rsid w:val="00D3568A"/>
    <w:rsid w:val="00D36140"/>
    <w:rsid w:val="00D36471"/>
    <w:rsid w:val="00D46440"/>
    <w:rsid w:val="00D47338"/>
    <w:rsid w:val="00D515D8"/>
    <w:rsid w:val="00D52119"/>
    <w:rsid w:val="00D52639"/>
    <w:rsid w:val="00D60CE9"/>
    <w:rsid w:val="00D61C5D"/>
    <w:rsid w:val="00D6602D"/>
    <w:rsid w:val="00D82B1B"/>
    <w:rsid w:val="00D8573B"/>
    <w:rsid w:val="00D863E8"/>
    <w:rsid w:val="00D934FC"/>
    <w:rsid w:val="00D936DB"/>
    <w:rsid w:val="00D93AA9"/>
    <w:rsid w:val="00DA47AD"/>
    <w:rsid w:val="00DA4914"/>
    <w:rsid w:val="00DA7BB1"/>
    <w:rsid w:val="00DB21CD"/>
    <w:rsid w:val="00DC061D"/>
    <w:rsid w:val="00DC1E1A"/>
    <w:rsid w:val="00DC3DEA"/>
    <w:rsid w:val="00DC4B28"/>
    <w:rsid w:val="00DC6F68"/>
    <w:rsid w:val="00DD0DDB"/>
    <w:rsid w:val="00DE3001"/>
    <w:rsid w:val="00DE69CA"/>
    <w:rsid w:val="00DE7BFE"/>
    <w:rsid w:val="00DE7E63"/>
    <w:rsid w:val="00DF13CF"/>
    <w:rsid w:val="00DF6369"/>
    <w:rsid w:val="00E00379"/>
    <w:rsid w:val="00E125D0"/>
    <w:rsid w:val="00E203B6"/>
    <w:rsid w:val="00E21100"/>
    <w:rsid w:val="00E24132"/>
    <w:rsid w:val="00E31B8F"/>
    <w:rsid w:val="00E32920"/>
    <w:rsid w:val="00E334CB"/>
    <w:rsid w:val="00E36C98"/>
    <w:rsid w:val="00E43096"/>
    <w:rsid w:val="00E60466"/>
    <w:rsid w:val="00E62D17"/>
    <w:rsid w:val="00E63867"/>
    <w:rsid w:val="00E64F33"/>
    <w:rsid w:val="00E676EA"/>
    <w:rsid w:val="00E711D1"/>
    <w:rsid w:val="00E7681C"/>
    <w:rsid w:val="00E76897"/>
    <w:rsid w:val="00E773BC"/>
    <w:rsid w:val="00E836CB"/>
    <w:rsid w:val="00E973E2"/>
    <w:rsid w:val="00EA08EB"/>
    <w:rsid w:val="00EA2A5B"/>
    <w:rsid w:val="00EA5496"/>
    <w:rsid w:val="00EA5F31"/>
    <w:rsid w:val="00EC0476"/>
    <w:rsid w:val="00EC25F1"/>
    <w:rsid w:val="00EC35B2"/>
    <w:rsid w:val="00EC5861"/>
    <w:rsid w:val="00ED0404"/>
    <w:rsid w:val="00ED3CB2"/>
    <w:rsid w:val="00ED4077"/>
    <w:rsid w:val="00ED69C0"/>
    <w:rsid w:val="00EE2948"/>
    <w:rsid w:val="00EE2D78"/>
    <w:rsid w:val="00EE4292"/>
    <w:rsid w:val="00EE591C"/>
    <w:rsid w:val="00EE722D"/>
    <w:rsid w:val="00EF314D"/>
    <w:rsid w:val="00F04CF2"/>
    <w:rsid w:val="00F11344"/>
    <w:rsid w:val="00F1467D"/>
    <w:rsid w:val="00F20581"/>
    <w:rsid w:val="00F30253"/>
    <w:rsid w:val="00F3093B"/>
    <w:rsid w:val="00F32F1F"/>
    <w:rsid w:val="00F50168"/>
    <w:rsid w:val="00F5306D"/>
    <w:rsid w:val="00F537A9"/>
    <w:rsid w:val="00F54E00"/>
    <w:rsid w:val="00F56871"/>
    <w:rsid w:val="00F613A0"/>
    <w:rsid w:val="00F72F51"/>
    <w:rsid w:val="00F738C9"/>
    <w:rsid w:val="00F73986"/>
    <w:rsid w:val="00F73DDB"/>
    <w:rsid w:val="00F814DE"/>
    <w:rsid w:val="00F84D5E"/>
    <w:rsid w:val="00F91069"/>
    <w:rsid w:val="00F9694A"/>
    <w:rsid w:val="00F976E2"/>
    <w:rsid w:val="00FB626B"/>
    <w:rsid w:val="00FB6FC8"/>
    <w:rsid w:val="00FC20B9"/>
    <w:rsid w:val="00FC4A4D"/>
    <w:rsid w:val="00FC6EE2"/>
    <w:rsid w:val="00FE0071"/>
    <w:rsid w:val="00FE02A4"/>
    <w:rsid w:val="00FE4FEA"/>
    <w:rsid w:val="00FE6345"/>
    <w:rsid w:val="00FF707E"/>
    <w:rsid w:val="00FF7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91C"/>
    <w:pPr>
      <w:spacing w:after="200" w:line="276"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4ACA"/>
    <w:pPr>
      <w:ind w:left="720"/>
      <w:contextualSpacing/>
    </w:pPr>
  </w:style>
  <w:style w:type="paragraph" w:styleId="Kopfzeile">
    <w:name w:val="header"/>
    <w:basedOn w:val="Standard"/>
    <w:link w:val="KopfzeileZchn"/>
    <w:uiPriority w:val="99"/>
    <w:unhideWhenUsed/>
    <w:rsid w:val="001F4A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ACA"/>
  </w:style>
  <w:style w:type="paragraph" w:styleId="Fuzeile">
    <w:name w:val="footer"/>
    <w:basedOn w:val="Standard"/>
    <w:link w:val="FuzeileZchn"/>
    <w:uiPriority w:val="99"/>
    <w:semiHidden/>
    <w:unhideWhenUsed/>
    <w:rsid w:val="001F4AC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F4ACA"/>
  </w:style>
  <w:style w:type="paragraph" w:styleId="Funotentext">
    <w:name w:val="footnote text"/>
    <w:basedOn w:val="Standard"/>
    <w:link w:val="FunotentextZchn"/>
    <w:uiPriority w:val="99"/>
    <w:semiHidden/>
    <w:unhideWhenUsed/>
    <w:rsid w:val="001F4A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F4ACA"/>
    <w:rPr>
      <w:sz w:val="20"/>
      <w:szCs w:val="20"/>
    </w:rPr>
  </w:style>
  <w:style w:type="character" w:styleId="Funotenzeichen">
    <w:name w:val="footnote reference"/>
    <w:basedOn w:val="Absatz-Standardschriftart"/>
    <w:uiPriority w:val="99"/>
    <w:semiHidden/>
    <w:unhideWhenUsed/>
    <w:rsid w:val="001F4ACA"/>
    <w:rPr>
      <w:vertAlign w:val="superscript"/>
    </w:rPr>
  </w:style>
  <w:style w:type="paragraph" w:styleId="Sprechblasentext">
    <w:name w:val="Balloon Text"/>
    <w:basedOn w:val="Standard"/>
    <w:link w:val="SprechblasentextZchn"/>
    <w:uiPriority w:val="99"/>
    <w:semiHidden/>
    <w:unhideWhenUsed/>
    <w:rsid w:val="00A31C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CBA"/>
    <w:rPr>
      <w:rFonts w:ascii="Tahoma" w:hAnsi="Tahoma" w:cs="Tahoma"/>
      <w:sz w:val="16"/>
      <w:szCs w:val="16"/>
    </w:rPr>
  </w:style>
  <w:style w:type="character" w:styleId="Hyperlink">
    <w:name w:val="Hyperlink"/>
    <w:basedOn w:val="Absatz-Standardschriftart"/>
    <w:uiPriority w:val="99"/>
    <w:unhideWhenUsed/>
    <w:rsid w:val="005A0A12"/>
    <w:rPr>
      <w:color w:val="0000FF"/>
      <w:u w:val="single"/>
    </w:rPr>
  </w:style>
  <w:style w:type="paragraph" w:styleId="Endnotentext">
    <w:name w:val="endnote text"/>
    <w:basedOn w:val="Standard"/>
    <w:link w:val="EndnotentextZchn"/>
    <w:semiHidden/>
    <w:rsid w:val="00C02E4F"/>
    <w:rPr>
      <w:sz w:val="20"/>
      <w:szCs w:val="20"/>
    </w:rPr>
  </w:style>
  <w:style w:type="character" w:customStyle="1" w:styleId="EndnotentextZchn">
    <w:name w:val="Endnotentext Zchn"/>
    <w:basedOn w:val="Absatz-Standardschriftart"/>
    <w:link w:val="Endnotentext"/>
    <w:semiHidden/>
    <w:rsid w:val="00C02E4F"/>
    <w:rPr>
      <w:lang w:eastAsia="en-US"/>
    </w:rPr>
  </w:style>
  <w:style w:type="character" w:styleId="Endnotenzeichen">
    <w:name w:val="endnote reference"/>
    <w:basedOn w:val="Absatz-Standardschriftart"/>
    <w:semiHidden/>
    <w:rsid w:val="00C02E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9884-AC14-4D66-9348-B82FA3DF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3821</Words>
  <Characters>24077</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27843</CharactersWithSpaces>
  <SharedDoc>false</SharedDoc>
  <HLinks>
    <vt:vector size="6" baseType="variant">
      <vt:variant>
        <vt:i4>983124</vt:i4>
      </vt:variant>
      <vt:variant>
        <vt:i4>0</vt:i4>
      </vt:variant>
      <vt:variant>
        <vt:i4>0</vt:i4>
      </vt:variant>
      <vt:variant>
        <vt:i4>5</vt:i4>
      </vt:variant>
      <vt:variant>
        <vt:lpwstr>http://trapp-exil.jimdo.com/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2010-07-27T14:35:00Z</cp:lastPrinted>
  <dcterms:created xsi:type="dcterms:W3CDTF">2010-07-28T13:48:00Z</dcterms:created>
  <dcterms:modified xsi:type="dcterms:W3CDTF">2013-09-25T08:11:00Z</dcterms:modified>
</cp:coreProperties>
</file>